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hint="default" w:ascii="方正小标宋简体" w:hAnsi="方正小标宋简体" w:eastAsia="方正小标宋简体" w:cs="方正小标宋简体"/>
          <w:color w:val="auto"/>
          <w:sz w:val="72"/>
          <w:szCs w:val="72"/>
          <w:highlight w:val="none"/>
          <w:lang w:val="en-US" w:eastAsia="zh-CN"/>
        </w:rPr>
      </w:pPr>
      <w:bookmarkStart w:id="0" w:name="_Toc15378441"/>
      <w:bookmarkStart w:id="1" w:name="_Toc15377193"/>
      <w:bookmarkStart w:id="2" w:name="_Toc13912"/>
      <w:bookmarkStart w:id="3" w:name="_Toc15396597"/>
      <w:bookmarkStart w:id="4" w:name="_Toc15396475"/>
      <w:bookmarkStart w:id="5" w:name="_Toc15377425"/>
      <w:bookmarkStart w:id="6" w:name="_Toc15306267"/>
      <w:r>
        <w:rPr>
          <w:rFonts w:hint="eastAsia" w:ascii="方正小标宋简体" w:hAnsi="方正小标宋简体" w:eastAsia="方正小标宋简体" w:cs="方正小标宋简体"/>
          <w:color w:val="auto"/>
          <w:sz w:val="72"/>
          <w:szCs w:val="72"/>
          <w:highlight w:val="none"/>
          <w:lang w:val="en-US" w:eastAsia="zh-CN"/>
        </w:rPr>
        <w:t>内江市科学技术协会</w:t>
      </w: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22</w:t>
      </w:r>
      <w:r>
        <w:rPr>
          <w:rFonts w:hint="eastAsia" w:ascii="方正小标宋简体" w:hAnsi="方正小标宋简体" w:eastAsia="方正小标宋简体" w:cs="方正小标宋简体"/>
          <w:color w:val="auto"/>
          <w:sz w:val="72"/>
          <w:szCs w:val="72"/>
          <w:highlight w:val="none"/>
        </w:rPr>
        <w:t>年度</w:t>
      </w:r>
      <w:bookmarkEnd w:id="0"/>
      <w:bookmarkEnd w:id="1"/>
      <w:bookmarkEnd w:id="2"/>
      <w:bookmarkEnd w:id="3"/>
      <w:bookmarkEnd w:id="4"/>
      <w:bookmarkEnd w:id="5"/>
    </w:p>
    <w:bookmarkEnd w:id="6"/>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bookmarkStart w:id="7" w:name="_Toc15377194"/>
      <w:bookmarkStart w:id="8" w:name="_Toc15377426"/>
      <w:bookmarkStart w:id="9" w:name="_Toc15306268"/>
      <w:bookmarkStart w:id="10" w:name="_Toc15396476"/>
      <w:bookmarkStart w:id="11" w:name="_Toc15378442"/>
      <w:bookmarkStart w:id="12" w:name="_Toc15396598"/>
      <w:bookmarkStart w:id="13" w:name="_Toc8137"/>
      <w:r>
        <w:rPr>
          <w:rFonts w:hint="eastAsia" w:ascii="方正小标宋简体" w:hAnsi="方正小标宋简体" w:eastAsia="方正小标宋简体" w:cs="方正小标宋简体"/>
          <w:color w:val="auto"/>
          <w:sz w:val="72"/>
          <w:szCs w:val="72"/>
          <w:highlight w:val="none"/>
          <w:lang w:eastAsia="zh-CN"/>
        </w:rPr>
        <w:t>单位</w:t>
      </w:r>
      <w:r>
        <w:rPr>
          <w:rFonts w:hint="eastAsia" w:ascii="方正小标宋简体" w:hAnsi="方正小标宋简体" w:eastAsia="方正小标宋简体" w:cs="方正小标宋简体"/>
          <w:color w:val="auto"/>
          <w:sz w:val="72"/>
          <w:szCs w:val="72"/>
          <w:highlight w:val="none"/>
        </w:rPr>
        <w:t>决算</w:t>
      </w:r>
      <w:bookmarkEnd w:id="7"/>
      <w:bookmarkEnd w:id="8"/>
      <w:bookmarkEnd w:id="9"/>
      <w:bookmarkEnd w:id="10"/>
      <w:bookmarkEnd w:id="11"/>
      <w:bookmarkEnd w:id="12"/>
      <w:r>
        <w:rPr>
          <w:rFonts w:hint="eastAsia" w:ascii="方正小标宋简体" w:hAnsi="方正小标宋简体" w:eastAsia="方正小标宋简体" w:cs="方正小标宋简体"/>
          <w:color w:val="auto"/>
          <w:sz w:val="72"/>
          <w:szCs w:val="72"/>
          <w:highlight w:val="none"/>
          <w:lang w:eastAsia="zh-CN"/>
        </w:rPr>
        <w:t>编制说明</w:t>
      </w:r>
      <w:bookmarkEnd w:id="13"/>
    </w:p>
    <w:p>
      <w:pPr>
        <w:rPr>
          <w:rFonts w:hint="eastAsia" w:ascii="黑体" w:hAnsi="黑体" w:eastAsia="黑体"/>
          <w:color w:val="auto"/>
          <w:sz w:val="48"/>
          <w:szCs w:val="48"/>
          <w:highlight w:val="none"/>
        </w:rPr>
      </w:pPr>
      <w:r>
        <w:rPr>
          <w:rFonts w:hint="eastAsia" w:ascii="黑体" w:hAnsi="黑体" w:eastAsia="黑体"/>
          <w:color w:val="auto"/>
          <w:sz w:val="48"/>
          <w:szCs w:val="48"/>
          <w:highlight w:val="none"/>
        </w:rPr>
        <w:br w:type="page"/>
      </w:r>
    </w:p>
    <w:p>
      <w:pPr>
        <w:widowControl/>
        <w:jc w:val="center"/>
        <w:rPr>
          <w:rFonts w:ascii="黑体" w:hAnsi="黑体" w:eastAsia="黑体" w:cstheme="minorBidi"/>
          <w:color w:val="auto"/>
          <w:sz w:val="28"/>
          <w:szCs w:val="28"/>
          <w:highlight w:val="none"/>
        </w:rPr>
      </w:pPr>
      <w:r>
        <w:rPr>
          <w:rFonts w:hint="eastAsia" w:ascii="黑体" w:hAnsi="黑体" w:eastAsia="黑体"/>
          <w:color w:val="auto"/>
          <w:sz w:val="48"/>
          <w:szCs w:val="48"/>
          <w:highlight w:val="none"/>
        </w:rPr>
        <w:t>目</w:t>
      </w:r>
      <w:r>
        <w:rPr>
          <w:rFonts w:hint="eastAsia" w:ascii="黑体" w:hAnsi="黑体" w:eastAsia="黑体"/>
          <w:color w:val="auto"/>
          <w:sz w:val="48"/>
          <w:szCs w:val="48"/>
          <w:highlight w:val="none"/>
          <w:lang w:val="en-US" w:eastAsia="zh-CN"/>
        </w:rPr>
        <w:t xml:space="preserve">  </w:t>
      </w:r>
      <w:r>
        <w:rPr>
          <w:rFonts w:hint="eastAsia" w:ascii="黑体" w:hAnsi="黑体" w:eastAsia="黑体"/>
          <w:color w:val="auto"/>
          <w:sz w:val="48"/>
          <w:szCs w:val="48"/>
          <w:highlight w:val="none"/>
        </w:rPr>
        <w:t>录</w:t>
      </w:r>
    </w:p>
    <w:p>
      <w:pPr>
        <w:pStyle w:val="11"/>
        <w:rPr>
          <w:color w:val="auto"/>
          <w:highlight w:val="none"/>
        </w:rPr>
      </w:pPr>
      <w:r>
        <w:rPr>
          <w:rFonts w:hint="eastAsia"/>
          <w:color w:val="auto"/>
          <w:highlight w:val="none"/>
        </w:rPr>
        <w:t>公开时间：20</w:t>
      </w:r>
      <w:r>
        <w:rPr>
          <w:rFonts w:hint="eastAsia"/>
          <w:color w:val="auto"/>
          <w:highlight w:val="none"/>
          <w:lang w:val="en-US" w:eastAsia="zh-CN"/>
        </w:rPr>
        <w:t>23</w:t>
      </w:r>
      <w:r>
        <w:rPr>
          <w:rFonts w:hint="eastAsia"/>
          <w:color w:val="auto"/>
          <w:highlight w:val="none"/>
        </w:rPr>
        <w:t>年</w:t>
      </w:r>
      <w:r>
        <w:rPr>
          <w:rFonts w:hint="eastAsia"/>
          <w:color w:val="auto"/>
          <w:highlight w:val="none"/>
          <w:lang w:val="en-US" w:eastAsia="zh-CN"/>
        </w:rPr>
        <w:t>9</w:t>
      </w:r>
      <w:r>
        <w:rPr>
          <w:rFonts w:hint="eastAsia"/>
          <w:color w:val="auto"/>
          <w:highlight w:val="none"/>
        </w:rPr>
        <w:t>月</w:t>
      </w:r>
      <w:r>
        <w:rPr>
          <w:rFonts w:hint="eastAsia"/>
          <w:color w:val="auto"/>
          <w:highlight w:val="none"/>
          <w:lang w:val="en-US" w:eastAsia="zh-CN"/>
        </w:rPr>
        <w:t>22</w:t>
      </w:r>
      <w:r>
        <w:rPr>
          <w:rFonts w:hint="eastAsia"/>
          <w:color w:val="auto"/>
          <w:highlight w:val="none"/>
        </w:rPr>
        <w:t>日</w:t>
      </w:r>
    </w:p>
    <w:sdt>
      <w:sdtPr>
        <w:rPr>
          <w:rFonts w:ascii="宋体" w:hAnsi="宋体" w:eastAsia="宋体" w:cs="Times New Roman"/>
          <w:kern w:val="2"/>
          <w:sz w:val="21"/>
          <w:szCs w:val="24"/>
          <w:lang w:val="en-US" w:eastAsia="zh-CN" w:bidi="ar-SA"/>
        </w:rPr>
        <w:id w:val="147462218"/>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bookmarkStart w:id="14" w:name="_Toc15377196"/>
          <w:bookmarkStart w:id="15" w:name="_Toc15396599"/>
        </w:p>
        <w:p>
          <w:pPr>
            <w:pStyle w:val="11"/>
            <w:tabs>
              <w:tab w:val="right" w:leader="dot" w:pos="8306"/>
              <w:tab w:val="clear" w:pos="8296"/>
            </w:tabs>
            <w:jc w:val="both"/>
          </w:pPr>
          <w:r>
            <w:fldChar w:fldCharType="begin"/>
          </w:r>
          <w:r>
            <w:instrText xml:space="preserve">TOC \o "1-3" \h \u </w:instrText>
          </w:r>
          <w:r>
            <w:fldChar w:fldCharType="separate"/>
          </w:r>
          <w:r>
            <w:fldChar w:fldCharType="begin"/>
          </w:r>
          <w:r>
            <w:instrText xml:space="preserve"> HYPERLINK \l _Toc24 </w:instrText>
          </w:r>
          <w:r>
            <w:fldChar w:fldCharType="separate"/>
          </w:r>
          <w:r>
            <w:rPr>
              <w:rFonts w:hint="eastAsia" w:ascii="黑体" w:hAnsi="黑体" w:eastAsia="黑体"/>
              <w:highlight w:val="none"/>
            </w:rPr>
            <w:t xml:space="preserve">第一部分 </w:t>
          </w:r>
          <w:r>
            <w:rPr>
              <w:rFonts w:hint="eastAsia" w:ascii="黑体" w:hAnsi="黑体" w:eastAsia="黑体"/>
              <w:highlight w:val="none"/>
              <w:lang w:eastAsia="zh-CN"/>
            </w:rPr>
            <w:t>单位</w:t>
          </w:r>
          <w:r>
            <w:rPr>
              <w:rFonts w:hint="eastAsia" w:ascii="黑体" w:hAnsi="黑体" w:eastAsia="黑体"/>
              <w:bCs w:val="0"/>
              <w:highlight w:val="none"/>
            </w:rPr>
            <w:t>概况</w:t>
          </w:r>
          <w:r>
            <w:tab/>
          </w:r>
          <w:r>
            <w:fldChar w:fldCharType="begin"/>
          </w:r>
          <w:r>
            <w:instrText xml:space="preserve"> PAGEREF _Toc24 \h </w:instrText>
          </w:r>
          <w:r>
            <w:fldChar w:fldCharType="separate"/>
          </w:r>
          <w:r>
            <w:t>1</w:t>
          </w:r>
          <w:r>
            <w:fldChar w:fldCharType="end"/>
          </w:r>
          <w:r>
            <w:fldChar w:fldCharType="end"/>
          </w:r>
        </w:p>
        <w:p>
          <w:pPr>
            <w:pStyle w:val="12"/>
            <w:tabs>
              <w:tab w:val="right" w:leader="dot" w:pos="8306"/>
              <w:tab w:val="clear" w:pos="8296"/>
            </w:tabs>
          </w:pPr>
          <w:r>
            <w:fldChar w:fldCharType="begin"/>
          </w:r>
          <w:r>
            <w:instrText xml:space="preserve"> HYPERLINK \l _Toc20470 </w:instrText>
          </w:r>
          <w:r>
            <w:fldChar w:fldCharType="separate"/>
          </w:r>
          <w:r>
            <w:rPr>
              <w:rFonts w:hint="eastAsia" w:ascii="黑体" w:hAnsi="黑体" w:eastAsia="黑体"/>
              <w:bCs w:val="0"/>
              <w:lang w:eastAsia="zh-CN"/>
            </w:rPr>
            <w:t xml:space="preserve">一、 </w:t>
          </w:r>
          <w:r>
            <w:rPr>
              <w:rFonts w:hint="eastAsia" w:ascii="黑体" w:hAnsi="黑体" w:eastAsia="黑体"/>
              <w:bCs w:val="0"/>
              <w:highlight w:val="none"/>
              <w:lang w:eastAsia="zh-CN"/>
            </w:rPr>
            <w:t>主要职责</w:t>
          </w:r>
          <w:r>
            <w:tab/>
          </w:r>
          <w:r>
            <w:fldChar w:fldCharType="begin"/>
          </w:r>
          <w:r>
            <w:instrText xml:space="preserve"> PAGEREF _Toc20470 \h </w:instrText>
          </w:r>
          <w:r>
            <w:fldChar w:fldCharType="separate"/>
          </w:r>
          <w:r>
            <w:t>1</w:t>
          </w:r>
          <w:r>
            <w:fldChar w:fldCharType="end"/>
          </w:r>
          <w:r>
            <w:fldChar w:fldCharType="end"/>
          </w:r>
        </w:p>
        <w:p>
          <w:pPr>
            <w:pStyle w:val="12"/>
            <w:tabs>
              <w:tab w:val="right" w:leader="dot" w:pos="8306"/>
              <w:tab w:val="clear" w:pos="8296"/>
            </w:tabs>
          </w:pPr>
          <w:r>
            <w:fldChar w:fldCharType="begin"/>
          </w:r>
          <w:r>
            <w:instrText xml:space="preserve"> HYPERLINK \l _Toc31214 </w:instrText>
          </w:r>
          <w:r>
            <w:fldChar w:fldCharType="separate"/>
          </w:r>
          <w:r>
            <w:rPr>
              <w:rFonts w:hint="eastAsia" w:ascii="黑体" w:hAnsi="黑体" w:eastAsia="黑体"/>
              <w:highlight w:val="none"/>
              <w:lang w:val="en-US" w:eastAsia="zh-CN"/>
            </w:rPr>
            <w:t>二、机构设置</w:t>
          </w:r>
          <w:r>
            <w:tab/>
          </w:r>
          <w:r>
            <w:fldChar w:fldCharType="begin"/>
          </w:r>
          <w:r>
            <w:instrText xml:space="preserve"> PAGEREF _Toc31214 \h </w:instrText>
          </w:r>
          <w:r>
            <w:fldChar w:fldCharType="separate"/>
          </w:r>
          <w:r>
            <w:t>2</w:t>
          </w:r>
          <w:r>
            <w:fldChar w:fldCharType="end"/>
          </w:r>
          <w:r>
            <w:fldChar w:fldCharType="end"/>
          </w:r>
        </w:p>
        <w:p>
          <w:pPr>
            <w:pStyle w:val="11"/>
            <w:tabs>
              <w:tab w:val="right" w:leader="dot" w:pos="8306"/>
              <w:tab w:val="clear" w:pos="8296"/>
            </w:tabs>
          </w:pPr>
          <w:r>
            <w:fldChar w:fldCharType="begin"/>
          </w:r>
          <w:r>
            <w:instrText xml:space="preserve"> HYPERLINK \l _Toc11138 </w:instrText>
          </w:r>
          <w:r>
            <w:fldChar w:fldCharType="separate"/>
          </w:r>
          <w:r>
            <w:rPr>
              <w:rFonts w:hint="eastAsia" w:ascii="黑体" w:hAnsi="黑体" w:eastAsia="黑体"/>
              <w:bCs/>
              <w:highlight w:val="none"/>
            </w:rPr>
            <w:t xml:space="preserve">第二部分 </w:t>
          </w:r>
          <w:r>
            <w:rPr>
              <w:rFonts w:hint="eastAsia" w:ascii="黑体" w:hAnsi="黑体" w:eastAsia="黑体"/>
              <w:bCs/>
              <w:highlight w:val="none"/>
              <w:lang w:val="en-US" w:eastAsia="zh-CN"/>
            </w:rPr>
            <w:t>2022年度</w:t>
          </w:r>
          <w:r>
            <w:rPr>
              <w:rFonts w:hint="eastAsia" w:ascii="黑体" w:hAnsi="黑体" w:eastAsia="黑体"/>
              <w:bCs/>
              <w:highlight w:val="none"/>
              <w:lang w:eastAsia="zh-CN"/>
            </w:rPr>
            <w:t>单位</w:t>
          </w:r>
          <w:r>
            <w:rPr>
              <w:rFonts w:hint="eastAsia" w:ascii="黑体" w:hAnsi="黑体" w:eastAsia="黑体"/>
              <w:bCs/>
              <w:highlight w:val="none"/>
            </w:rPr>
            <w:t>决算情况说明</w:t>
          </w:r>
          <w:r>
            <w:tab/>
          </w:r>
          <w:r>
            <w:fldChar w:fldCharType="begin"/>
          </w:r>
          <w:r>
            <w:instrText xml:space="preserve"> PAGEREF _Toc11138 \h </w:instrText>
          </w:r>
          <w:r>
            <w:fldChar w:fldCharType="separate"/>
          </w:r>
          <w:r>
            <w:t>3</w:t>
          </w:r>
          <w:r>
            <w:fldChar w:fldCharType="end"/>
          </w:r>
          <w:r>
            <w:fldChar w:fldCharType="end"/>
          </w:r>
        </w:p>
        <w:p>
          <w:pPr>
            <w:pStyle w:val="12"/>
            <w:tabs>
              <w:tab w:val="right" w:leader="dot" w:pos="8306"/>
              <w:tab w:val="clear" w:pos="8296"/>
            </w:tabs>
          </w:pPr>
          <w:r>
            <w:fldChar w:fldCharType="begin"/>
          </w:r>
          <w:r>
            <w:instrText xml:space="preserve"> HYPERLINK \l _Toc21442 </w:instrText>
          </w:r>
          <w:r>
            <w:fldChar w:fldCharType="separate"/>
          </w:r>
          <w:r>
            <w:rPr>
              <w:rFonts w:hint="default" w:ascii="黑体" w:hAnsi="黑体" w:eastAsia="黑体"/>
            </w:rPr>
            <w:t xml:space="preserve">一、 </w:t>
          </w:r>
          <w:r>
            <w:rPr>
              <w:rFonts w:hint="eastAsia" w:ascii="黑体" w:hAnsi="黑体" w:eastAsia="黑体"/>
              <w:szCs w:val="32"/>
              <w:highlight w:val="none"/>
            </w:rPr>
            <w:t>收</w:t>
          </w:r>
          <w:r>
            <w:rPr>
              <w:rFonts w:hint="eastAsia" w:ascii="黑体" w:hAnsi="黑体" w:eastAsia="黑体"/>
              <w:highlight w:val="none"/>
            </w:rPr>
            <w:t>入支出决算总体情况说明</w:t>
          </w:r>
          <w:r>
            <w:tab/>
          </w:r>
          <w:r>
            <w:fldChar w:fldCharType="begin"/>
          </w:r>
          <w:r>
            <w:instrText xml:space="preserve"> PAGEREF _Toc21442 \h </w:instrText>
          </w:r>
          <w:r>
            <w:fldChar w:fldCharType="separate"/>
          </w:r>
          <w:r>
            <w:t>3</w:t>
          </w:r>
          <w:r>
            <w:fldChar w:fldCharType="end"/>
          </w:r>
          <w:r>
            <w:fldChar w:fldCharType="end"/>
          </w:r>
        </w:p>
        <w:p>
          <w:pPr>
            <w:pStyle w:val="12"/>
            <w:tabs>
              <w:tab w:val="right" w:leader="dot" w:pos="8306"/>
              <w:tab w:val="clear" w:pos="8296"/>
            </w:tabs>
          </w:pPr>
          <w:r>
            <w:fldChar w:fldCharType="begin"/>
          </w:r>
          <w:r>
            <w:instrText xml:space="preserve"> HYPERLINK \l _Toc446 </w:instrText>
          </w:r>
          <w:r>
            <w:fldChar w:fldCharType="separate"/>
          </w:r>
          <w:r>
            <w:rPr>
              <w:rFonts w:hint="default" w:ascii="黑体" w:hAnsi="黑体" w:eastAsia="黑体"/>
            </w:rPr>
            <w:t xml:space="preserve">二、 </w:t>
          </w:r>
          <w:r>
            <w:rPr>
              <w:rFonts w:hint="eastAsia" w:ascii="黑体" w:hAnsi="黑体" w:eastAsia="黑体"/>
              <w:szCs w:val="32"/>
              <w:highlight w:val="none"/>
            </w:rPr>
            <w:t>收</w:t>
          </w:r>
          <w:r>
            <w:rPr>
              <w:rFonts w:hint="eastAsia" w:ascii="黑体" w:hAnsi="黑体" w:eastAsia="黑体"/>
              <w:highlight w:val="none"/>
            </w:rPr>
            <w:t>入决算情况说明</w:t>
          </w:r>
          <w:r>
            <w:tab/>
          </w:r>
          <w:r>
            <w:fldChar w:fldCharType="begin"/>
          </w:r>
          <w:r>
            <w:instrText xml:space="preserve"> PAGEREF _Toc446 \h </w:instrText>
          </w:r>
          <w:r>
            <w:fldChar w:fldCharType="separate"/>
          </w:r>
          <w:r>
            <w:t>3</w:t>
          </w:r>
          <w:r>
            <w:fldChar w:fldCharType="end"/>
          </w:r>
          <w:r>
            <w:fldChar w:fldCharType="end"/>
          </w:r>
        </w:p>
        <w:p>
          <w:pPr>
            <w:pStyle w:val="12"/>
            <w:tabs>
              <w:tab w:val="right" w:leader="dot" w:pos="8306"/>
              <w:tab w:val="clear" w:pos="8296"/>
            </w:tabs>
          </w:pPr>
          <w:r>
            <w:fldChar w:fldCharType="begin"/>
          </w:r>
          <w:r>
            <w:instrText xml:space="preserve"> HYPERLINK \l _Toc32369 </w:instrText>
          </w:r>
          <w:r>
            <w:fldChar w:fldCharType="separate"/>
          </w:r>
          <w:r>
            <w:rPr>
              <w:rFonts w:hint="default" w:ascii="黑体" w:hAnsi="黑体" w:eastAsia="黑体"/>
            </w:rPr>
            <w:t xml:space="preserve">三、 </w:t>
          </w:r>
          <w:r>
            <w:rPr>
              <w:rFonts w:hint="eastAsia" w:ascii="黑体" w:hAnsi="黑体" w:eastAsia="黑体"/>
              <w:szCs w:val="32"/>
              <w:highlight w:val="none"/>
            </w:rPr>
            <w:t>支</w:t>
          </w:r>
          <w:r>
            <w:rPr>
              <w:rFonts w:hint="eastAsia" w:ascii="黑体" w:hAnsi="黑体" w:eastAsia="黑体"/>
              <w:highlight w:val="none"/>
            </w:rPr>
            <w:t>出决算情况说明</w:t>
          </w:r>
          <w:r>
            <w:tab/>
          </w:r>
          <w:r>
            <w:fldChar w:fldCharType="begin"/>
          </w:r>
          <w:r>
            <w:instrText xml:space="preserve"> PAGEREF _Toc32369 \h </w:instrText>
          </w:r>
          <w:r>
            <w:fldChar w:fldCharType="separate"/>
          </w:r>
          <w:r>
            <w:t>4</w:t>
          </w:r>
          <w:r>
            <w:fldChar w:fldCharType="end"/>
          </w:r>
          <w:r>
            <w:fldChar w:fldCharType="end"/>
          </w:r>
        </w:p>
        <w:p>
          <w:pPr>
            <w:pStyle w:val="12"/>
            <w:tabs>
              <w:tab w:val="right" w:leader="dot" w:pos="8306"/>
              <w:tab w:val="clear" w:pos="8296"/>
            </w:tabs>
          </w:pPr>
          <w:r>
            <w:fldChar w:fldCharType="begin"/>
          </w:r>
          <w:r>
            <w:instrText xml:space="preserve"> HYPERLINK \l _Toc14217 </w:instrText>
          </w:r>
          <w:r>
            <w:fldChar w:fldCharType="separate"/>
          </w:r>
          <w:r>
            <w:rPr>
              <w:rFonts w:hint="eastAsia" w:ascii="黑体" w:hAnsi="黑体" w:eastAsia="黑体"/>
              <w:szCs w:val="32"/>
              <w:highlight w:val="none"/>
            </w:rPr>
            <w:t>四、财</w:t>
          </w:r>
          <w:r>
            <w:rPr>
              <w:rFonts w:hint="eastAsia" w:ascii="黑体" w:hAnsi="黑体" w:eastAsia="黑体"/>
              <w:highlight w:val="none"/>
            </w:rPr>
            <w:t>政拨款收入支出决算总体情况说明</w:t>
          </w:r>
          <w:r>
            <w:tab/>
          </w:r>
          <w:r>
            <w:fldChar w:fldCharType="begin"/>
          </w:r>
          <w:r>
            <w:instrText xml:space="preserve"> PAGEREF _Toc14217 \h </w:instrText>
          </w:r>
          <w:r>
            <w:fldChar w:fldCharType="separate"/>
          </w:r>
          <w:r>
            <w:t>5</w:t>
          </w:r>
          <w:r>
            <w:fldChar w:fldCharType="end"/>
          </w:r>
          <w:r>
            <w:fldChar w:fldCharType="end"/>
          </w:r>
        </w:p>
        <w:p>
          <w:pPr>
            <w:pStyle w:val="12"/>
            <w:tabs>
              <w:tab w:val="right" w:leader="dot" w:pos="8306"/>
              <w:tab w:val="clear" w:pos="8296"/>
            </w:tabs>
          </w:pPr>
          <w:r>
            <w:fldChar w:fldCharType="begin"/>
          </w:r>
          <w:r>
            <w:instrText xml:space="preserve"> HYPERLINK \l _Toc28991 </w:instrText>
          </w:r>
          <w:r>
            <w:fldChar w:fldCharType="separate"/>
          </w:r>
          <w:r>
            <w:rPr>
              <w:rFonts w:hint="eastAsia" w:ascii="黑体" w:hAnsi="黑体" w:eastAsia="黑体"/>
              <w:szCs w:val="32"/>
              <w:highlight w:val="none"/>
            </w:rPr>
            <w:t>五、一</w:t>
          </w:r>
          <w:r>
            <w:rPr>
              <w:rFonts w:hint="eastAsia" w:ascii="黑体" w:hAnsi="黑体" w:eastAsia="黑体"/>
              <w:highlight w:val="none"/>
            </w:rPr>
            <w:t>般公共预算财政拨款支出决算情况说明</w:t>
          </w:r>
          <w:r>
            <w:tab/>
          </w:r>
          <w:r>
            <w:fldChar w:fldCharType="begin"/>
          </w:r>
          <w:r>
            <w:instrText xml:space="preserve"> PAGEREF _Toc28991 \h </w:instrText>
          </w:r>
          <w:r>
            <w:fldChar w:fldCharType="separate"/>
          </w:r>
          <w:r>
            <w:t>5</w:t>
          </w:r>
          <w:r>
            <w:fldChar w:fldCharType="end"/>
          </w:r>
          <w:r>
            <w:fldChar w:fldCharType="end"/>
          </w:r>
        </w:p>
        <w:p>
          <w:pPr>
            <w:pStyle w:val="12"/>
            <w:tabs>
              <w:tab w:val="right" w:leader="dot" w:pos="8306"/>
              <w:tab w:val="clear" w:pos="8296"/>
            </w:tabs>
          </w:pPr>
          <w:r>
            <w:fldChar w:fldCharType="begin"/>
          </w:r>
          <w:r>
            <w:instrText xml:space="preserve"> HYPERLINK \l _Toc9042 </w:instrText>
          </w:r>
          <w:r>
            <w:fldChar w:fldCharType="separate"/>
          </w:r>
          <w:r>
            <w:rPr>
              <w:rFonts w:hint="eastAsia" w:ascii="黑体" w:eastAsia="黑体"/>
              <w:szCs w:val="32"/>
              <w:highlight w:val="none"/>
            </w:rPr>
            <w:t>六、</w:t>
          </w:r>
          <w:r>
            <w:rPr>
              <w:rFonts w:hint="eastAsia" w:ascii="黑体" w:hAnsi="黑体" w:eastAsia="黑体"/>
              <w:szCs w:val="32"/>
              <w:highlight w:val="none"/>
            </w:rPr>
            <w:t>一</w:t>
          </w:r>
          <w:r>
            <w:rPr>
              <w:rFonts w:hint="eastAsia" w:ascii="黑体" w:hAnsi="黑体" w:eastAsia="黑体"/>
              <w:highlight w:val="none"/>
            </w:rPr>
            <w:t>般公共预算财政拨款基本支出决算情况说明</w:t>
          </w:r>
          <w:r>
            <w:tab/>
          </w:r>
          <w:r>
            <w:fldChar w:fldCharType="begin"/>
          </w:r>
          <w:r>
            <w:instrText xml:space="preserve"> PAGEREF _Toc9042 \h </w:instrText>
          </w:r>
          <w:r>
            <w:fldChar w:fldCharType="separate"/>
          </w:r>
          <w:r>
            <w:t>8</w:t>
          </w:r>
          <w:r>
            <w:fldChar w:fldCharType="end"/>
          </w:r>
          <w:r>
            <w:fldChar w:fldCharType="end"/>
          </w:r>
        </w:p>
        <w:p>
          <w:pPr>
            <w:pStyle w:val="12"/>
            <w:tabs>
              <w:tab w:val="right" w:leader="dot" w:pos="8306"/>
              <w:tab w:val="clear" w:pos="8296"/>
            </w:tabs>
          </w:pPr>
          <w:r>
            <w:fldChar w:fldCharType="begin"/>
          </w:r>
          <w:r>
            <w:instrText xml:space="preserve"> HYPERLINK \l _Toc2486 </w:instrText>
          </w:r>
          <w:r>
            <w:fldChar w:fldCharType="separate"/>
          </w:r>
          <w:r>
            <w:rPr>
              <w:rFonts w:hint="eastAsia" w:ascii="黑体" w:eastAsia="黑体"/>
              <w:szCs w:val="32"/>
              <w:highlight w:val="none"/>
            </w:rPr>
            <w:t>七、</w:t>
          </w:r>
          <w:r>
            <w:rPr>
              <w:rFonts w:hint="eastAsia" w:ascii="黑体" w:hAnsi="黑体" w:eastAsia="黑体"/>
              <w:highlight w:val="none"/>
            </w:rPr>
            <w:t>财政拨款“三公”经费支出决算情况说明</w:t>
          </w:r>
          <w:r>
            <w:tab/>
          </w:r>
          <w:r>
            <w:fldChar w:fldCharType="begin"/>
          </w:r>
          <w:r>
            <w:instrText xml:space="preserve"> PAGEREF _Toc2486 \h </w:instrText>
          </w:r>
          <w:r>
            <w:fldChar w:fldCharType="separate"/>
          </w:r>
          <w:r>
            <w:t>8</w:t>
          </w:r>
          <w:r>
            <w:fldChar w:fldCharType="end"/>
          </w:r>
          <w:r>
            <w:fldChar w:fldCharType="end"/>
          </w:r>
        </w:p>
        <w:p>
          <w:pPr>
            <w:pStyle w:val="12"/>
            <w:tabs>
              <w:tab w:val="right" w:leader="dot" w:pos="8306"/>
              <w:tab w:val="clear" w:pos="8296"/>
            </w:tabs>
          </w:pPr>
          <w:r>
            <w:fldChar w:fldCharType="begin"/>
          </w:r>
          <w:r>
            <w:instrText xml:space="preserve"> HYPERLINK \l _Toc18078 </w:instrText>
          </w:r>
          <w:r>
            <w:fldChar w:fldCharType="separate"/>
          </w:r>
          <w:r>
            <w:rPr>
              <w:rFonts w:hint="eastAsia" w:ascii="黑体" w:eastAsia="黑体"/>
              <w:szCs w:val="32"/>
              <w:highlight w:val="none"/>
            </w:rPr>
            <w:t>八、</w:t>
          </w:r>
          <w:r>
            <w:rPr>
              <w:rFonts w:hint="eastAsia" w:ascii="黑体" w:hAnsi="黑体" w:eastAsia="黑体"/>
              <w:highlight w:val="none"/>
            </w:rPr>
            <w:t>政府性基金预算支出决算情况说明</w:t>
          </w:r>
          <w:r>
            <w:tab/>
          </w:r>
          <w:r>
            <w:fldChar w:fldCharType="begin"/>
          </w:r>
          <w:r>
            <w:instrText xml:space="preserve"> PAGEREF _Toc18078 \h </w:instrText>
          </w:r>
          <w:r>
            <w:fldChar w:fldCharType="separate"/>
          </w:r>
          <w:r>
            <w:t>10</w:t>
          </w:r>
          <w:r>
            <w:fldChar w:fldCharType="end"/>
          </w:r>
          <w:r>
            <w:fldChar w:fldCharType="end"/>
          </w:r>
        </w:p>
        <w:p>
          <w:pPr>
            <w:pStyle w:val="12"/>
            <w:tabs>
              <w:tab w:val="right" w:leader="dot" w:pos="8306"/>
              <w:tab w:val="clear" w:pos="8296"/>
            </w:tabs>
          </w:pPr>
          <w:r>
            <w:fldChar w:fldCharType="begin"/>
          </w:r>
          <w:r>
            <w:instrText xml:space="preserve"> HYPERLINK \l _Toc24290 </w:instrText>
          </w:r>
          <w:r>
            <w:fldChar w:fldCharType="separate"/>
          </w:r>
          <w:r>
            <w:rPr>
              <w:rFonts w:hint="eastAsia" w:ascii="黑体" w:hAnsi="黑体" w:eastAsia="黑体"/>
            </w:rPr>
            <w:t xml:space="preserve">九、 </w:t>
          </w:r>
          <w:r>
            <w:rPr>
              <w:rFonts w:hint="eastAsia" w:ascii="黑体" w:hAnsi="黑体" w:eastAsia="黑体"/>
              <w:highlight w:val="none"/>
            </w:rPr>
            <w:t>国有资本经营预算支出决算情况说明</w:t>
          </w:r>
          <w:r>
            <w:tab/>
          </w:r>
          <w:r>
            <w:fldChar w:fldCharType="begin"/>
          </w:r>
          <w:r>
            <w:instrText xml:space="preserve"> PAGEREF _Toc24290 \h </w:instrText>
          </w:r>
          <w:r>
            <w:fldChar w:fldCharType="separate"/>
          </w:r>
          <w:r>
            <w:t>10</w:t>
          </w:r>
          <w:r>
            <w:fldChar w:fldCharType="end"/>
          </w:r>
          <w:r>
            <w:fldChar w:fldCharType="end"/>
          </w:r>
        </w:p>
        <w:p>
          <w:pPr>
            <w:pStyle w:val="12"/>
            <w:tabs>
              <w:tab w:val="right" w:leader="dot" w:pos="8306"/>
              <w:tab w:val="clear" w:pos="8296"/>
            </w:tabs>
          </w:pPr>
          <w:r>
            <w:fldChar w:fldCharType="begin"/>
          </w:r>
          <w:r>
            <w:instrText xml:space="preserve"> HYPERLINK \l _Toc21015 </w:instrText>
          </w:r>
          <w:r>
            <w:fldChar w:fldCharType="separate"/>
          </w:r>
          <w:r>
            <w:rPr>
              <w:rFonts w:hint="eastAsia" w:ascii="黑体" w:hAnsi="黑体" w:eastAsia="黑体"/>
            </w:rPr>
            <w:t xml:space="preserve">十、 </w:t>
          </w:r>
          <w:r>
            <w:rPr>
              <w:rFonts w:hint="eastAsia" w:ascii="黑体" w:hAnsi="黑体" w:eastAsia="黑体"/>
              <w:highlight w:val="none"/>
            </w:rPr>
            <w:t>其他重要事项的情况说明</w:t>
          </w:r>
          <w:r>
            <w:tab/>
          </w:r>
          <w:r>
            <w:fldChar w:fldCharType="begin"/>
          </w:r>
          <w:r>
            <w:instrText xml:space="preserve"> PAGEREF _Toc21015 \h </w:instrText>
          </w:r>
          <w:r>
            <w:fldChar w:fldCharType="separate"/>
          </w:r>
          <w:r>
            <w:t>10</w:t>
          </w:r>
          <w:r>
            <w:fldChar w:fldCharType="end"/>
          </w:r>
          <w:r>
            <w:fldChar w:fldCharType="end"/>
          </w:r>
        </w:p>
        <w:p>
          <w:pPr>
            <w:pStyle w:val="11"/>
            <w:tabs>
              <w:tab w:val="right" w:leader="dot" w:pos="8306"/>
              <w:tab w:val="clear" w:pos="8296"/>
            </w:tabs>
          </w:pPr>
          <w:r>
            <w:fldChar w:fldCharType="begin"/>
          </w:r>
          <w:r>
            <w:instrText xml:space="preserve"> HYPERLINK \l _Toc21476 </w:instrText>
          </w:r>
          <w:r>
            <w:fldChar w:fldCharType="separate"/>
          </w:r>
          <w:r>
            <w:rPr>
              <w:rFonts w:hint="eastAsia" w:ascii="黑体" w:hAnsi="黑体" w:eastAsia="黑体" w:cs="黑体"/>
              <w:szCs w:val="44"/>
            </w:rPr>
            <w:t xml:space="preserve">第三部分 </w:t>
          </w:r>
          <w:r>
            <w:rPr>
              <w:rFonts w:hint="eastAsia" w:ascii="黑体" w:hAnsi="黑体" w:eastAsia="黑体"/>
              <w:szCs w:val="44"/>
              <w:highlight w:val="none"/>
            </w:rPr>
            <w:t>名</w:t>
          </w:r>
          <w:r>
            <w:rPr>
              <w:rFonts w:hint="eastAsia" w:ascii="黑体" w:hAnsi="黑体" w:eastAsia="黑体"/>
              <w:highlight w:val="none"/>
            </w:rPr>
            <w:t>词解释</w:t>
          </w:r>
          <w:r>
            <w:tab/>
          </w:r>
          <w:r>
            <w:fldChar w:fldCharType="begin"/>
          </w:r>
          <w:r>
            <w:instrText xml:space="preserve"> PAGEREF _Toc21476 \h </w:instrText>
          </w:r>
          <w:r>
            <w:fldChar w:fldCharType="separate"/>
          </w:r>
          <w:r>
            <w:t>12</w:t>
          </w:r>
          <w:r>
            <w:fldChar w:fldCharType="end"/>
          </w:r>
          <w:r>
            <w:fldChar w:fldCharType="end"/>
          </w:r>
        </w:p>
        <w:p>
          <w:pPr>
            <w:pStyle w:val="11"/>
            <w:tabs>
              <w:tab w:val="right" w:leader="dot" w:pos="8306"/>
              <w:tab w:val="clear" w:pos="8296"/>
            </w:tabs>
          </w:pPr>
          <w:r>
            <w:fldChar w:fldCharType="begin"/>
          </w:r>
          <w:r>
            <w:instrText xml:space="preserve"> HYPERLINK \l _Toc14966 </w:instrText>
          </w:r>
          <w:r>
            <w:fldChar w:fldCharType="separate"/>
          </w:r>
          <w:r>
            <w:rPr>
              <w:rFonts w:hint="eastAsia" w:ascii="黑体" w:hAnsi="黑体" w:eastAsia="黑体"/>
              <w:szCs w:val="44"/>
              <w:highlight w:val="none"/>
            </w:rPr>
            <w:t>第</w:t>
          </w:r>
          <w:r>
            <w:rPr>
              <w:rFonts w:hint="eastAsia" w:ascii="黑体" w:hAnsi="黑体" w:eastAsia="黑体"/>
              <w:highlight w:val="none"/>
            </w:rPr>
            <w:t>四部分 附件</w:t>
          </w:r>
          <w:r>
            <w:tab/>
          </w:r>
          <w:r>
            <w:fldChar w:fldCharType="begin"/>
          </w:r>
          <w:r>
            <w:instrText xml:space="preserve"> PAGEREF _Toc14966 \h </w:instrText>
          </w:r>
          <w:r>
            <w:fldChar w:fldCharType="separate"/>
          </w:r>
          <w:r>
            <w:t>15</w:t>
          </w:r>
          <w:r>
            <w:fldChar w:fldCharType="end"/>
          </w:r>
          <w:r>
            <w:fldChar w:fldCharType="end"/>
          </w:r>
        </w:p>
        <w:p>
          <w:pPr>
            <w:pStyle w:val="11"/>
            <w:tabs>
              <w:tab w:val="right" w:leader="dot" w:pos="8306"/>
              <w:tab w:val="clear" w:pos="8296"/>
            </w:tabs>
          </w:pPr>
          <w:r>
            <w:fldChar w:fldCharType="begin"/>
          </w:r>
          <w:r>
            <w:instrText xml:space="preserve"> HYPERLINK \l _Toc2503 </w:instrText>
          </w:r>
          <w:r>
            <w:fldChar w:fldCharType="separate"/>
          </w:r>
          <w:r>
            <w:rPr>
              <w:rFonts w:hint="eastAsia" w:ascii="黑体" w:hAnsi="黑体" w:eastAsia="黑体"/>
              <w:szCs w:val="44"/>
              <w:highlight w:val="none"/>
            </w:rPr>
            <w:t>第</w:t>
          </w:r>
          <w:r>
            <w:rPr>
              <w:rFonts w:hint="eastAsia" w:ascii="黑体" w:hAnsi="黑体" w:eastAsia="黑体"/>
              <w:highlight w:val="none"/>
            </w:rPr>
            <w:t>五部分 附表</w:t>
          </w:r>
          <w:r>
            <w:tab/>
          </w:r>
          <w:r>
            <w:fldChar w:fldCharType="begin"/>
          </w:r>
          <w:r>
            <w:instrText xml:space="preserve"> PAGEREF _Toc2503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_Toc16293 </w:instrText>
          </w:r>
          <w:r>
            <w:fldChar w:fldCharType="separate"/>
          </w:r>
          <w:r>
            <w:rPr>
              <w:rFonts w:hint="eastAsia" w:ascii="仿宋" w:hAnsi="仿宋" w:eastAsia="仿宋"/>
              <w:highlight w:val="none"/>
            </w:rPr>
            <w:t>一、收</w:t>
          </w:r>
          <w:r>
            <w:rPr>
              <w:rFonts w:hint="eastAsia" w:ascii="仿宋" w:hAnsi="仿宋" w:eastAsia="仿宋"/>
              <w:bCs w:val="0"/>
              <w:highlight w:val="none"/>
            </w:rPr>
            <w:t>入支出决算总表</w:t>
          </w:r>
          <w:r>
            <w:tab/>
          </w:r>
          <w:r>
            <w:fldChar w:fldCharType="begin"/>
          </w:r>
          <w:r>
            <w:instrText xml:space="preserve"> PAGEREF _Toc16293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_Toc5802 </w:instrText>
          </w:r>
          <w:r>
            <w:fldChar w:fldCharType="separate"/>
          </w:r>
          <w:r>
            <w:rPr>
              <w:rFonts w:hint="eastAsia" w:ascii="仿宋" w:hAnsi="仿宋" w:eastAsia="仿宋"/>
              <w:highlight w:val="none"/>
            </w:rPr>
            <w:t>二、收</w:t>
          </w:r>
          <w:r>
            <w:rPr>
              <w:rFonts w:hint="eastAsia" w:ascii="仿宋" w:hAnsi="仿宋" w:eastAsia="仿宋"/>
              <w:bCs w:val="0"/>
              <w:highlight w:val="none"/>
            </w:rPr>
            <w:t>入决算表</w:t>
          </w:r>
          <w:r>
            <w:tab/>
          </w:r>
          <w:r>
            <w:fldChar w:fldCharType="begin"/>
          </w:r>
          <w:r>
            <w:instrText xml:space="preserve"> PAGEREF _Toc5802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_Toc23534 </w:instrText>
          </w:r>
          <w:r>
            <w:fldChar w:fldCharType="separate"/>
          </w:r>
          <w:r>
            <w:rPr>
              <w:rFonts w:hint="eastAsia" w:ascii="仿宋" w:hAnsi="仿宋" w:eastAsia="仿宋"/>
              <w:bCs w:val="0"/>
              <w:highlight w:val="none"/>
            </w:rPr>
            <w:t>三、</w:t>
          </w:r>
          <w:r>
            <w:rPr>
              <w:rFonts w:hint="eastAsia" w:ascii="仿宋" w:hAnsi="仿宋" w:eastAsia="仿宋"/>
              <w:highlight w:val="none"/>
            </w:rPr>
            <w:t>支</w:t>
          </w:r>
          <w:r>
            <w:rPr>
              <w:rFonts w:hint="eastAsia" w:ascii="仿宋" w:hAnsi="仿宋" w:eastAsia="仿宋"/>
              <w:bCs w:val="0"/>
              <w:highlight w:val="none"/>
            </w:rPr>
            <w:t>出决算表</w:t>
          </w:r>
          <w:r>
            <w:tab/>
          </w:r>
          <w:r>
            <w:fldChar w:fldCharType="begin"/>
          </w:r>
          <w:r>
            <w:instrText xml:space="preserve"> PAGEREF _Toc23534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_Toc20636 </w:instrText>
          </w:r>
          <w:r>
            <w:fldChar w:fldCharType="separate"/>
          </w:r>
          <w:r>
            <w:rPr>
              <w:rFonts w:hint="eastAsia" w:ascii="仿宋" w:hAnsi="仿宋" w:eastAsia="仿宋"/>
              <w:bCs w:val="0"/>
              <w:highlight w:val="none"/>
            </w:rPr>
            <w:t>四、</w:t>
          </w:r>
          <w:r>
            <w:rPr>
              <w:rFonts w:hint="eastAsia" w:ascii="仿宋" w:hAnsi="仿宋" w:eastAsia="仿宋"/>
              <w:highlight w:val="none"/>
            </w:rPr>
            <w:t>财</w:t>
          </w:r>
          <w:r>
            <w:rPr>
              <w:rFonts w:hint="eastAsia" w:ascii="仿宋" w:hAnsi="仿宋" w:eastAsia="仿宋"/>
              <w:bCs w:val="0"/>
              <w:highlight w:val="none"/>
            </w:rPr>
            <w:t>政拨款收入支出决算总表</w:t>
          </w:r>
          <w:r>
            <w:tab/>
          </w:r>
          <w:r>
            <w:fldChar w:fldCharType="begin"/>
          </w:r>
          <w:r>
            <w:instrText xml:space="preserve"> PAGEREF _Toc20636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_Toc31443 </w:instrText>
          </w:r>
          <w:r>
            <w:fldChar w:fldCharType="separate"/>
          </w:r>
          <w:r>
            <w:rPr>
              <w:rFonts w:hint="eastAsia" w:ascii="仿宋" w:hAnsi="仿宋" w:eastAsia="仿宋"/>
              <w:bCs w:val="0"/>
              <w:highlight w:val="none"/>
            </w:rPr>
            <w:t>五、</w:t>
          </w:r>
          <w:r>
            <w:rPr>
              <w:rFonts w:hint="eastAsia" w:ascii="仿宋" w:hAnsi="仿宋" w:eastAsia="仿宋"/>
              <w:highlight w:val="none"/>
            </w:rPr>
            <w:t>财</w:t>
          </w:r>
          <w:r>
            <w:rPr>
              <w:rFonts w:hint="eastAsia" w:ascii="仿宋" w:hAnsi="仿宋" w:eastAsia="仿宋"/>
              <w:bCs w:val="0"/>
              <w:highlight w:val="none"/>
            </w:rPr>
            <w:t>政拨款支出决算明细表</w:t>
          </w:r>
          <w:r>
            <w:tab/>
          </w:r>
          <w:r>
            <w:fldChar w:fldCharType="begin"/>
          </w:r>
          <w:r>
            <w:instrText xml:space="preserve"> PAGEREF _Toc31443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_Toc8791 </w:instrText>
          </w:r>
          <w:r>
            <w:fldChar w:fldCharType="separate"/>
          </w:r>
          <w:r>
            <w:rPr>
              <w:rFonts w:hint="eastAsia" w:ascii="仿宋" w:hAnsi="仿宋" w:eastAsia="仿宋"/>
              <w:bCs w:val="0"/>
              <w:highlight w:val="none"/>
            </w:rPr>
            <w:t>六、</w:t>
          </w:r>
          <w:r>
            <w:rPr>
              <w:rFonts w:hint="eastAsia" w:ascii="仿宋" w:hAnsi="仿宋" w:eastAsia="仿宋"/>
              <w:highlight w:val="none"/>
            </w:rPr>
            <w:t>一</w:t>
          </w:r>
          <w:r>
            <w:rPr>
              <w:rFonts w:hint="eastAsia" w:ascii="仿宋" w:hAnsi="仿宋" w:eastAsia="仿宋"/>
              <w:bCs w:val="0"/>
              <w:highlight w:val="none"/>
            </w:rPr>
            <w:t>般公共预算财政拨款支出决算表</w:t>
          </w:r>
          <w:r>
            <w:tab/>
          </w:r>
          <w:r>
            <w:fldChar w:fldCharType="begin"/>
          </w:r>
          <w:r>
            <w:instrText xml:space="preserve"> PAGEREF _Toc8791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_Toc15494 </w:instrText>
          </w:r>
          <w:r>
            <w:fldChar w:fldCharType="separate"/>
          </w:r>
          <w:r>
            <w:rPr>
              <w:rFonts w:hint="eastAsia" w:ascii="仿宋" w:hAnsi="仿宋" w:eastAsia="仿宋"/>
              <w:bCs w:val="0"/>
              <w:highlight w:val="none"/>
            </w:rPr>
            <w:t>七、</w:t>
          </w:r>
          <w:r>
            <w:rPr>
              <w:rFonts w:hint="eastAsia" w:ascii="仿宋" w:hAnsi="仿宋" w:eastAsia="仿宋"/>
              <w:highlight w:val="none"/>
            </w:rPr>
            <w:t>一</w:t>
          </w:r>
          <w:r>
            <w:rPr>
              <w:rFonts w:hint="eastAsia" w:ascii="仿宋" w:hAnsi="仿宋" w:eastAsia="仿宋"/>
              <w:bCs w:val="0"/>
              <w:highlight w:val="none"/>
            </w:rPr>
            <w:t>般公共预算财政拨款支出决算明细表</w:t>
          </w:r>
          <w:r>
            <w:tab/>
          </w:r>
          <w:r>
            <w:fldChar w:fldCharType="begin"/>
          </w:r>
          <w:r>
            <w:instrText xml:space="preserve"> PAGEREF _Toc15494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_Toc29239 </w:instrText>
          </w:r>
          <w:r>
            <w:fldChar w:fldCharType="separate"/>
          </w:r>
          <w:r>
            <w:rPr>
              <w:rFonts w:hint="eastAsia" w:ascii="仿宋" w:hAnsi="仿宋" w:eastAsia="仿宋"/>
              <w:bCs w:val="0"/>
              <w:highlight w:val="none"/>
            </w:rPr>
            <w:t>八、</w:t>
          </w:r>
          <w:r>
            <w:rPr>
              <w:rFonts w:hint="eastAsia" w:ascii="仿宋" w:hAnsi="仿宋" w:eastAsia="仿宋"/>
              <w:highlight w:val="none"/>
            </w:rPr>
            <w:t>一</w:t>
          </w:r>
          <w:r>
            <w:rPr>
              <w:rFonts w:hint="eastAsia" w:ascii="仿宋" w:hAnsi="仿宋" w:eastAsia="仿宋"/>
              <w:bCs w:val="0"/>
              <w:highlight w:val="none"/>
            </w:rPr>
            <w:t>般公共预算财政拨款基本支出决算表</w:t>
          </w:r>
          <w:r>
            <w:tab/>
          </w:r>
          <w:r>
            <w:fldChar w:fldCharType="begin"/>
          </w:r>
          <w:r>
            <w:instrText xml:space="preserve"> PAGEREF _Toc29239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_Toc24853 </w:instrText>
          </w:r>
          <w:r>
            <w:fldChar w:fldCharType="separate"/>
          </w:r>
          <w:r>
            <w:rPr>
              <w:rFonts w:hint="eastAsia" w:ascii="仿宋" w:hAnsi="仿宋" w:eastAsia="仿宋"/>
              <w:bCs w:val="0"/>
              <w:highlight w:val="none"/>
            </w:rPr>
            <w:t>九、</w:t>
          </w:r>
          <w:r>
            <w:rPr>
              <w:rFonts w:hint="eastAsia" w:ascii="仿宋" w:hAnsi="仿宋" w:eastAsia="仿宋"/>
              <w:highlight w:val="none"/>
            </w:rPr>
            <w:t>一</w:t>
          </w:r>
          <w:r>
            <w:rPr>
              <w:rFonts w:hint="eastAsia" w:ascii="仿宋" w:hAnsi="仿宋" w:eastAsia="仿宋"/>
              <w:bCs w:val="0"/>
              <w:highlight w:val="none"/>
            </w:rPr>
            <w:t>般公共预算财政拨款项目支出决算表</w:t>
          </w:r>
          <w:r>
            <w:tab/>
          </w:r>
          <w:r>
            <w:fldChar w:fldCharType="begin"/>
          </w:r>
          <w:r>
            <w:instrText xml:space="preserve"> PAGEREF _Toc24853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_Toc20120 </w:instrText>
          </w:r>
          <w:r>
            <w:fldChar w:fldCharType="separate"/>
          </w:r>
          <w:r>
            <w:rPr>
              <w:rFonts w:hint="eastAsia" w:ascii="仿宋" w:hAnsi="仿宋" w:eastAsia="仿宋"/>
              <w:bCs w:val="0"/>
              <w:highlight w:val="none"/>
            </w:rPr>
            <w:t>十、</w:t>
          </w:r>
          <w:r>
            <w:rPr>
              <w:rFonts w:hint="eastAsia" w:ascii="仿宋" w:hAnsi="仿宋" w:eastAsia="仿宋"/>
              <w:highlight w:val="none"/>
            </w:rPr>
            <w:t>政</w:t>
          </w:r>
          <w:r>
            <w:rPr>
              <w:rFonts w:hint="eastAsia" w:ascii="仿宋" w:hAnsi="仿宋" w:eastAsia="仿宋"/>
              <w:bCs w:val="0"/>
              <w:highlight w:val="none"/>
            </w:rPr>
            <w:t>府性基金预算财政拨款收入支出决算表</w:t>
          </w:r>
          <w:r>
            <w:tab/>
          </w:r>
          <w:r>
            <w:fldChar w:fldCharType="begin"/>
          </w:r>
          <w:r>
            <w:instrText xml:space="preserve"> PAGEREF _Toc20120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_Toc23023 </w:instrText>
          </w:r>
          <w:r>
            <w:fldChar w:fldCharType="separate"/>
          </w:r>
          <w:r>
            <w:rPr>
              <w:rFonts w:hint="eastAsia" w:ascii="仿宋" w:hAnsi="仿宋" w:eastAsia="仿宋"/>
              <w:bCs w:val="0"/>
              <w:highlight w:val="none"/>
            </w:rPr>
            <w:t>十一、</w:t>
          </w:r>
          <w:r>
            <w:rPr>
              <w:rFonts w:hint="eastAsia" w:ascii="仿宋" w:hAnsi="仿宋" w:eastAsia="仿宋"/>
              <w:highlight w:val="none"/>
            </w:rPr>
            <w:t>国</w:t>
          </w:r>
          <w:r>
            <w:rPr>
              <w:rFonts w:hint="eastAsia" w:ascii="仿宋" w:hAnsi="仿宋" w:eastAsia="仿宋"/>
              <w:bCs w:val="0"/>
              <w:highlight w:val="none"/>
            </w:rPr>
            <w:t>有资本经营预算</w:t>
          </w:r>
          <w:r>
            <w:rPr>
              <w:rFonts w:hint="eastAsia" w:ascii="仿宋" w:hAnsi="仿宋" w:eastAsia="仿宋"/>
              <w:bCs w:val="0"/>
              <w:highlight w:val="none"/>
              <w:lang w:eastAsia="zh-CN"/>
            </w:rPr>
            <w:t>财政拨款收入</w:t>
          </w:r>
          <w:r>
            <w:rPr>
              <w:rFonts w:hint="eastAsia" w:ascii="仿宋" w:hAnsi="仿宋" w:eastAsia="仿宋"/>
              <w:bCs w:val="0"/>
              <w:highlight w:val="none"/>
            </w:rPr>
            <w:t>支出决算表</w:t>
          </w:r>
          <w:r>
            <w:tab/>
          </w:r>
          <w:r>
            <w:fldChar w:fldCharType="begin"/>
          </w:r>
          <w:r>
            <w:instrText xml:space="preserve"> PAGEREF _Toc23023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_Toc30139 </w:instrText>
          </w:r>
          <w:r>
            <w:fldChar w:fldCharType="separate"/>
          </w:r>
          <w:r>
            <w:rPr>
              <w:rFonts w:hint="eastAsia" w:ascii="仿宋" w:hAnsi="仿宋" w:eastAsia="仿宋"/>
              <w:bCs w:val="0"/>
              <w:highlight w:val="none"/>
            </w:rPr>
            <w:t>十二、</w:t>
          </w:r>
          <w:r>
            <w:rPr>
              <w:rFonts w:hint="eastAsia" w:ascii="仿宋" w:hAnsi="仿宋" w:eastAsia="仿宋"/>
              <w:bCs w:val="0"/>
              <w:highlight w:val="none"/>
              <w:lang w:eastAsia="zh-CN"/>
            </w:rPr>
            <w:t>国有资本经营预算财政拨款支出决算表</w:t>
          </w:r>
          <w:r>
            <w:tab/>
          </w:r>
          <w:r>
            <w:fldChar w:fldCharType="begin"/>
          </w:r>
          <w:r>
            <w:instrText xml:space="preserve"> PAGEREF _Toc30139 \h </w:instrText>
          </w:r>
          <w:r>
            <w:fldChar w:fldCharType="separate"/>
          </w:r>
          <w:r>
            <w:t>18</w:t>
          </w:r>
          <w:r>
            <w:fldChar w:fldCharType="end"/>
          </w:r>
          <w:r>
            <w:fldChar w:fldCharType="end"/>
          </w:r>
        </w:p>
        <w:p>
          <w:pPr>
            <w:pStyle w:val="12"/>
            <w:tabs>
              <w:tab w:val="right" w:leader="dot" w:pos="8306"/>
              <w:tab w:val="clear" w:pos="8296"/>
            </w:tabs>
          </w:pPr>
          <w:r>
            <w:fldChar w:fldCharType="begin"/>
          </w:r>
          <w:r>
            <w:instrText xml:space="preserve"> HYPERLINK \l _Toc31891 </w:instrText>
          </w:r>
          <w:r>
            <w:fldChar w:fldCharType="separate"/>
          </w:r>
          <w:r>
            <w:rPr>
              <w:rFonts w:hint="eastAsia" w:ascii="仿宋" w:hAnsi="仿宋" w:eastAsia="仿宋"/>
              <w:bCs w:val="0"/>
              <w:highlight w:val="none"/>
            </w:rPr>
            <w:t>十三、</w:t>
          </w:r>
          <w:r>
            <w:rPr>
              <w:rFonts w:hint="eastAsia" w:ascii="仿宋" w:hAnsi="仿宋" w:eastAsia="仿宋"/>
              <w:bCs w:val="0"/>
              <w:highlight w:val="none"/>
              <w:lang w:eastAsia="zh-CN"/>
            </w:rPr>
            <w:t>财政拨款“三公”经费支出决算表</w:t>
          </w:r>
          <w:r>
            <w:tab/>
          </w:r>
          <w:r>
            <w:fldChar w:fldCharType="begin"/>
          </w:r>
          <w:r>
            <w:instrText xml:space="preserve"> PAGEREF _Toc31891 \h </w:instrText>
          </w:r>
          <w:r>
            <w:fldChar w:fldCharType="separate"/>
          </w:r>
          <w:r>
            <w:t>18</w:t>
          </w:r>
          <w:r>
            <w:fldChar w:fldCharType="end"/>
          </w:r>
          <w:r>
            <w:fldChar w:fldCharType="end"/>
          </w:r>
        </w:p>
        <w:p>
          <w:r>
            <w:fldChar w:fldCharType="end"/>
          </w:r>
        </w:p>
      </w:sdtContent>
    </w:sdt>
    <w:p>
      <w:pPr>
        <w:pStyle w:val="3"/>
        <w:jc w:val="center"/>
        <w:rPr>
          <w:rFonts w:hint="eastAsia" w:ascii="黑体" w:hAnsi="黑体" w:eastAsia="黑体"/>
          <w:b w:val="0"/>
          <w:color w:val="auto"/>
          <w:highlight w:val="none"/>
        </w:rPr>
        <w:sectPr>
          <w:footerReference r:id="rId5" w:type="first"/>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bookmarkStart w:id="16" w:name="_Toc24"/>
    </w:p>
    <w:p>
      <w:pPr>
        <w:pStyle w:val="3"/>
        <w:jc w:val="center"/>
        <w:rPr>
          <w:rStyle w:val="27"/>
          <w:rFonts w:ascii="黑体" w:hAnsi="黑体" w:eastAsia="黑体"/>
          <w:b/>
          <w:bCs w:val="0"/>
          <w:color w:val="auto"/>
          <w:highlight w:val="none"/>
        </w:rPr>
      </w:pPr>
      <w:r>
        <w:rPr>
          <w:rFonts w:hint="eastAsia" w:ascii="黑体" w:hAnsi="黑体" w:eastAsia="黑体"/>
          <w:b w:val="0"/>
          <w:color w:val="auto"/>
          <w:highlight w:val="none"/>
        </w:rPr>
        <w:t xml:space="preserve">第一部分 </w:t>
      </w:r>
      <w:r>
        <w:rPr>
          <w:rFonts w:hint="eastAsia" w:ascii="黑体" w:hAnsi="黑体" w:eastAsia="黑体"/>
          <w:b w:val="0"/>
          <w:color w:val="auto"/>
          <w:highlight w:val="none"/>
          <w:lang w:eastAsia="zh-CN"/>
        </w:rPr>
        <w:t>单位</w:t>
      </w:r>
      <w:r>
        <w:rPr>
          <w:rStyle w:val="27"/>
          <w:rFonts w:hint="eastAsia" w:ascii="黑体" w:hAnsi="黑体" w:eastAsia="黑体"/>
          <w:b w:val="0"/>
          <w:bCs w:val="0"/>
          <w:color w:val="auto"/>
          <w:highlight w:val="none"/>
        </w:rPr>
        <w:t>概况</w:t>
      </w:r>
      <w:bookmarkEnd w:id="14"/>
      <w:bookmarkEnd w:id="15"/>
      <w:bookmarkEnd w:id="16"/>
    </w:p>
    <w:p>
      <w:pPr>
        <w:widowControl/>
        <w:jc w:val="left"/>
        <w:rPr>
          <w:rFonts w:ascii="黑体" w:eastAsia="黑体"/>
          <w:color w:val="auto"/>
          <w:sz w:val="32"/>
          <w:szCs w:val="32"/>
          <w:highlight w:val="none"/>
        </w:rPr>
      </w:pPr>
    </w:p>
    <w:p>
      <w:pPr>
        <w:pStyle w:val="4"/>
        <w:numPr>
          <w:ilvl w:val="0"/>
          <w:numId w:val="1"/>
        </w:numPr>
        <w:rPr>
          <w:rStyle w:val="28"/>
          <w:rFonts w:hint="eastAsia" w:ascii="黑体" w:hAnsi="黑体" w:eastAsia="黑体"/>
          <w:b w:val="0"/>
          <w:bCs w:val="0"/>
          <w:color w:val="auto"/>
          <w:highlight w:val="none"/>
          <w:lang w:eastAsia="zh-CN"/>
        </w:rPr>
      </w:pPr>
      <w:bookmarkStart w:id="17" w:name="_Toc20470"/>
      <w:bookmarkStart w:id="18" w:name="_Toc15377197"/>
      <w:bookmarkStart w:id="19" w:name="_Toc15396600"/>
      <w:r>
        <w:rPr>
          <w:rStyle w:val="28"/>
          <w:rFonts w:hint="eastAsia" w:ascii="黑体" w:hAnsi="黑体" w:eastAsia="黑体"/>
          <w:b w:val="0"/>
          <w:bCs w:val="0"/>
          <w:color w:val="auto"/>
          <w:highlight w:val="none"/>
          <w:lang w:eastAsia="zh-CN"/>
        </w:rPr>
        <w:t>主要职责</w:t>
      </w:r>
      <w:bookmarkEnd w:id="17"/>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内江市科学技术协会是市委领导下的负责科技群众团体工作的部门，主要机构职能是：</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1.开展学术交流，活跃学术思想，推动自主创新,促进学科发展；</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2.组织科学技术工作者为建立以企业为主体的技术创新体系，全面提升企业的自主创新能力作贡献；</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3.依照《中华人民共和国科学技术普及法》和《全民科学素质行动计划纲要》要求，弘扬科学精神，普及科学知识，传播科学思想和科学方法。捍卫科学尊严，推广先进技术，开展城乡干部群众和青少年科技教育活动，提高全民科学文化素质；</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4.反映科学技术工作者的建议、意见和诉求，维护科学技术工作者合法权益。促进学术道德建设和学风建设，营造健康学术氛围。</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5.组织科学技术工作者参与科学技术政策、法规制定和有关社会事务政治协商、科学决策、民主监督工作；</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6.表彰奖励优秀学术论文、优秀科学技术工作者，举荐人才；</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7.开展科学论证，提出政策建议，促进科学技术成果转化；接受委托承担项目评估、成果鉴定、专业技术资格评审认证等任务；</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8.开展民间国际学术交流活动，促进科学技术合作，创造条件发展同国内外科学技术团体和科学技术工作者的友好交往；</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9.开展继续教育和培训，促进科技人才的成长和提高；</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rPr>
      </w:pPr>
      <w:r>
        <w:rPr>
          <w:rFonts w:hint="eastAsia" w:ascii="仿宋_GB2312" w:eastAsia="仿宋_GB2312"/>
          <w:color w:val="333333"/>
          <w:sz w:val="32"/>
          <w:szCs w:val="32"/>
        </w:rPr>
        <w:t>10.兴办符合科学技术协会宗旨的社会公益性事业；</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color w:val="333333"/>
          <w:sz w:val="32"/>
          <w:szCs w:val="32"/>
          <w:lang w:eastAsia="zh-CN"/>
        </w:rPr>
      </w:pPr>
      <w:bookmarkStart w:id="20" w:name="_Toc23640"/>
      <w:r>
        <w:rPr>
          <w:rFonts w:hint="eastAsia" w:ascii="仿宋_GB2312" w:eastAsia="仿宋_GB2312"/>
          <w:color w:val="333333"/>
          <w:sz w:val="32"/>
          <w:szCs w:val="32"/>
        </w:rPr>
        <w:t>11.承办市委、市政府和省科协交办的其他事项。</w:t>
      </w:r>
      <w:bookmarkEnd w:id="20"/>
    </w:p>
    <w:p>
      <w:pPr>
        <w:pStyle w:val="4"/>
        <w:numPr>
          <w:ilvl w:val="0"/>
          <w:numId w:val="0"/>
        </w:numPr>
        <w:rPr>
          <w:rFonts w:hint="eastAsia" w:ascii="黑体" w:hAnsi="黑体" w:eastAsia="黑体"/>
          <w:b w:val="0"/>
          <w:color w:val="auto"/>
          <w:highlight w:val="none"/>
          <w:lang w:val="en-US" w:eastAsia="zh-CN"/>
        </w:rPr>
      </w:pPr>
      <w:bookmarkStart w:id="21" w:name="_Toc31214"/>
      <w:r>
        <w:rPr>
          <w:rFonts w:hint="eastAsia" w:ascii="黑体" w:hAnsi="黑体" w:eastAsia="黑体"/>
          <w:b w:val="0"/>
          <w:color w:val="auto"/>
          <w:highlight w:val="none"/>
          <w:lang w:val="en-US" w:eastAsia="zh-CN"/>
        </w:rPr>
        <w:t>二、机构设置</w:t>
      </w:r>
      <w:bookmarkEnd w:id="21"/>
    </w:p>
    <w:p>
      <w:pPr>
        <w:pStyle w:val="2"/>
        <w:pageBreakBefore w:val="0"/>
        <w:numPr>
          <w:ilvl w:val="0"/>
          <w:numId w:val="0"/>
        </w:numPr>
        <w:kinsoku/>
        <w:wordWrap/>
        <w:overflowPunct/>
        <w:topLinePunct w:val="0"/>
        <w:autoSpaceDE/>
        <w:autoSpaceDN/>
        <w:bidi w:val="0"/>
        <w:spacing w:line="560" w:lineRule="exact"/>
        <w:ind w:firstLine="640" w:firstLineChars="200"/>
        <w:textAlignment w:val="auto"/>
        <w:rPr>
          <w:rStyle w:val="33"/>
          <w:rFonts w:hint="default" w:ascii="仿宋_GB2312" w:hAnsi="仿宋_GB2312" w:eastAsia="仿宋_GB2312" w:cs="仿宋_GB2312"/>
          <w:sz w:val="32"/>
          <w:szCs w:val="32"/>
          <w:lang w:val="en-US" w:eastAsia="zh-CN"/>
        </w:rPr>
      </w:pPr>
      <w:r>
        <w:rPr>
          <w:rStyle w:val="33"/>
          <w:rFonts w:hint="eastAsia" w:ascii="仿宋_GB2312" w:hAnsi="仿宋_GB2312" w:eastAsia="仿宋_GB2312" w:cs="仿宋_GB2312"/>
          <w:sz w:val="32"/>
          <w:szCs w:val="32"/>
          <w:lang w:val="en-US" w:eastAsia="zh-CN"/>
        </w:rPr>
        <w:t>内江市科学技术协会机关</w:t>
      </w:r>
      <w:r>
        <w:rPr>
          <w:rStyle w:val="33"/>
          <w:rFonts w:hint="default" w:ascii="仿宋_GB2312" w:hAnsi="仿宋_GB2312" w:eastAsia="仿宋_GB2312" w:cs="仿宋_GB2312"/>
          <w:sz w:val="32"/>
          <w:szCs w:val="32"/>
          <w:lang w:val="en-US" w:eastAsia="zh-CN"/>
        </w:rPr>
        <w:t>为一级预算单位，下属二级单位</w:t>
      </w:r>
      <w:r>
        <w:rPr>
          <w:rStyle w:val="33"/>
          <w:rFonts w:hint="eastAsia" w:ascii="仿宋_GB2312" w:hAnsi="仿宋_GB2312" w:eastAsia="仿宋_GB2312" w:cs="仿宋_GB2312"/>
          <w:sz w:val="32"/>
          <w:szCs w:val="32"/>
          <w:lang w:val="en-US" w:eastAsia="zh-CN"/>
        </w:rPr>
        <w:t>2</w:t>
      </w:r>
      <w:r>
        <w:rPr>
          <w:rStyle w:val="33"/>
          <w:rFonts w:hint="default" w:ascii="仿宋_GB2312" w:hAnsi="仿宋_GB2312" w:eastAsia="仿宋_GB2312" w:cs="仿宋_GB2312"/>
          <w:sz w:val="32"/>
          <w:szCs w:val="32"/>
          <w:lang w:val="en-US" w:eastAsia="zh-CN"/>
        </w:rPr>
        <w:t>个，其中行政单位</w:t>
      </w:r>
      <w:r>
        <w:rPr>
          <w:rStyle w:val="33"/>
          <w:rFonts w:hint="eastAsia" w:ascii="仿宋_GB2312" w:hAnsi="仿宋_GB2312" w:eastAsia="仿宋_GB2312" w:cs="仿宋_GB2312"/>
          <w:sz w:val="32"/>
          <w:szCs w:val="32"/>
          <w:lang w:val="en-US" w:eastAsia="zh-CN"/>
        </w:rPr>
        <w:t>1</w:t>
      </w:r>
      <w:r>
        <w:rPr>
          <w:rStyle w:val="33"/>
          <w:rFonts w:hint="default" w:ascii="仿宋_GB2312" w:hAnsi="仿宋_GB2312" w:eastAsia="仿宋_GB2312" w:cs="仿宋_GB2312"/>
          <w:sz w:val="32"/>
          <w:szCs w:val="32"/>
          <w:lang w:val="en-US" w:eastAsia="zh-CN"/>
        </w:rPr>
        <w:t>个，其他事业单位</w:t>
      </w:r>
      <w:r>
        <w:rPr>
          <w:rStyle w:val="33"/>
          <w:rFonts w:hint="eastAsia" w:ascii="仿宋_GB2312" w:hAnsi="仿宋_GB2312" w:eastAsia="仿宋_GB2312" w:cs="仿宋_GB2312"/>
          <w:sz w:val="32"/>
          <w:szCs w:val="32"/>
          <w:lang w:val="en-US" w:eastAsia="zh-CN"/>
        </w:rPr>
        <w:t>1</w:t>
      </w:r>
      <w:r>
        <w:rPr>
          <w:rStyle w:val="33"/>
          <w:rFonts w:hint="default" w:ascii="仿宋_GB2312" w:hAnsi="仿宋_GB2312" w:eastAsia="仿宋_GB2312" w:cs="仿宋_GB2312"/>
          <w:sz w:val="32"/>
          <w:szCs w:val="32"/>
          <w:lang w:val="en-US" w:eastAsia="zh-CN"/>
        </w:rPr>
        <w:t>个。内设办公室、</w:t>
      </w:r>
      <w:r>
        <w:rPr>
          <w:rStyle w:val="33"/>
          <w:rFonts w:hint="eastAsia" w:ascii="仿宋_GB2312" w:hAnsi="仿宋_GB2312" w:eastAsia="仿宋_GB2312" w:cs="仿宋_GB2312"/>
          <w:sz w:val="32"/>
          <w:szCs w:val="32"/>
          <w:lang w:val="en-US" w:eastAsia="zh-CN"/>
        </w:rPr>
        <w:t>科普部</w:t>
      </w:r>
      <w:r>
        <w:rPr>
          <w:rStyle w:val="33"/>
          <w:rFonts w:hint="default" w:ascii="仿宋_GB2312" w:hAnsi="仿宋_GB2312" w:eastAsia="仿宋_GB2312" w:cs="仿宋_GB2312"/>
          <w:sz w:val="32"/>
          <w:szCs w:val="32"/>
          <w:lang w:val="en-US" w:eastAsia="zh-CN"/>
        </w:rPr>
        <w:t>、</w:t>
      </w:r>
      <w:r>
        <w:rPr>
          <w:rStyle w:val="33"/>
          <w:rFonts w:hint="eastAsia" w:ascii="仿宋_GB2312" w:hAnsi="仿宋_GB2312" w:eastAsia="仿宋_GB2312" w:cs="仿宋_GB2312"/>
          <w:sz w:val="32"/>
          <w:szCs w:val="32"/>
          <w:lang w:val="en-US" w:eastAsia="zh-CN"/>
        </w:rPr>
        <w:t>学会部。</w:t>
      </w:r>
    </w:p>
    <w:p>
      <w:pPr>
        <w:ind w:firstLine="420" w:firstLineChars="200"/>
        <w:rPr>
          <w:rFonts w:hint="eastAsia"/>
          <w:lang w:val="en-US" w:eastAsia="zh-CN"/>
        </w:rPr>
      </w:pPr>
    </w:p>
    <w:bookmarkEnd w:id="18"/>
    <w:bookmarkEnd w:id="19"/>
    <w:p>
      <w:pPr>
        <w:widowControl/>
        <w:jc w:val="left"/>
        <w:rPr>
          <w:rFonts w:ascii="仿宋" w:hAnsi="仿宋" w:eastAsia="仿宋"/>
          <w:color w:val="auto"/>
          <w:kern w:val="0"/>
          <w:sz w:val="32"/>
          <w:szCs w:val="32"/>
          <w:highlight w:val="none"/>
        </w:rPr>
      </w:pPr>
      <w:r>
        <w:rPr>
          <w:rFonts w:ascii="仿宋" w:hAnsi="仿宋" w:eastAsia="仿宋"/>
          <w:color w:val="auto"/>
          <w:sz w:val="32"/>
          <w:szCs w:val="32"/>
          <w:highlight w:val="none"/>
        </w:rPr>
        <w:br w:type="page"/>
      </w:r>
    </w:p>
    <w:p>
      <w:pPr>
        <w:pStyle w:val="3"/>
        <w:ind w:right="440"/>
        <w:jc w:val="center"/>
        <w:rPr>
          <w:rStyle w:val="27"/>
          <w:rFonts w:ascii="黑体" w:hAnsi="黑体" w:eastAsia="黑体"/>
          <w:b w:val="0"/>
          <w:bCs/>
          <w:color w:val="auto"/>
          <w:highlight w:val="none"/>
        </w:rPr>
      </w:pPr>
      <w:bookmarkStart w:id="22" w:name="_Toc11138"/>
      <w:bookmarkStart w:id="23" w:name="_Toc15377204"/>
      <w:bookmarkStart w:id="24" w:name="_Toc15396602"/>
      <w:r>
        <w:rPr>
          <w:rFonts w:hint="eastAsia" w:ascii="黑体" w:hAnsi="黑体" w:eastAsia="黑体"/>
          <w:b w:val="0"/>
          <w:bCs/>
          <w:color w:val="auto"/>
          <w:highlight w:val="none"/>
        </w:rPr>
        <w:t xml:space="preserve">第二部分 </w:t>
      </w:r>
      <w:r>
        <w:rPr>
          <w:rFonts w:hint="eastAsia" w:ascii="黑体" w:hAnsi="黑体" w:eastAsia="黑体"/>
          <w:b w:val="0"/>
          <w:bCs/>
          <w:color w:val="auto"/>
          <w:highlight w:val="none"/>
          <w:lang w:val="en-US" w:eastAsia="zh-CN"/>
        </w:rPr>
        <w:t>2022年度</w:t>
      </w:r>
      <w:r>
        <w:rPr>
          <w:rStyle w:val="27"/>
          <w:rFonts w:hint="eastAsia" w:ascii="黑体" w:hAnsi="黑体" w:eastAsia="黑体"/>
          <w:b w:val="0"/>
          <w:bCs/>
          <w:color w:val="auto"/>
          <w:highlight w:val="none"/>
          <w:lang w:eastAsia="zh-CN"/>
        </w:rPr>
        <w:t>单位</w:t>
      </w:r>
      <w:r>
        <w:rPr>
          <w:rStyle w:val="27"/>
          <w:rFonts w:hint="eastAsia" w:ascii="黑体" w:hAnsi="黑体" w:eastAsia="黑体"/>
          <w:b w:val="0"/>
          <w:bCs/>
          <w:color w:val="auto"/>
          <w:highlight w:val="none"/>
        </w:rPr>
        <w:t>决算情况说明</w:t>
      </w:r>
      <w:bookmarkEnd w:id="22"/>
      <w:bookmarkEnd w:id="23"/>
      <w:bookmarkEnd w:id="24"/>
    </w:p>
    <w:p>
      <w:pPr>
        <w:rPr>
          <w:color w:val="auto"/>
          <w:highlight w:val="none"/>
        </w:rPr>
      </w:pPr>
    </w:p>
    <w:p>
      <w:pPr>
        <w:pStyle w:val="26"/>
        <w:numPr>
          <w:ilvl w:val="0"/>
          <w:numId w:val="2"/>
        </w:numPr>
        <w:spacing w:line="600" w:lineRule="exact"/>
        <w:ind w:firstLineChars="0"/>
        <w:outlineLvl w:val="1"/>
        <w:rPr>
          <w:rStyle w:val="28"/>
          <w:rFonts w:ascii="黑体" w:hAnsi="黑体" w:eastAsia="黑体"/>
          <w:b w:val="0"/>
          <w:color w:val="auto"/>
          <w:highlight w:val="none"/>
        </w:rPr>
      </w:pPr>
      <w:bookmarkStart w:id="25" w:name="_Toc15377205"/>
      <w:bookmarkStart w:id="26" w:name="_Toc15396603"/>
      <w:bookmarkStart w:id="27" w:name="_Toc21442"/>
      <w:r>
        <w:rPr>
          <w:rFonts w:hint="eastAsia" w:ascii="黑体" w:hAnsi="黑体" w:eastAsia="黑体"/>
          <w:color w:val="auto"/>
          <w:sz w:val="32"/>
          <w:szCs w:val="32"/>
          <w:highlight w:val="none"/>
        </w:rPr>
        <w:t>收</w:t>
      </w:r>
      <w:r>
        <w:rPr>
          <w:rStyle w:val="28"/>
          <w:rFonts w:hint="eastAsia" w:ascii="黑体" w:hAnsi="黑体" w:eastAsia="黑体"/>
          <w:b w:val="0"/>
          <w:color w:val="auto"/>
          <w:highlight w:val="none"/>
        </w:rPr>
        <w:t>入支出决算总体情况说明</w:t>
      </w:r>
      <w:bookmarkEnd w:id="25"/>
      <w:bookmarkEnd w:id="26"/>
      <w:bookmarkEnd w:id="27"/>
    </w:p>
    <w:p>
      <w:pPr>
        <w:spacing w:line="600" w:lineRule="exact"/>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年度收、支总计</w:t>
      </w:r>
      <w:r>
        <w:rPr>
          <w:rFonts w:ascii="仿宋_GB2312" w:hAnsi="Times New Roman" w:eastAsia="仿宋_GB2312" w:cs="仿宋_GB2312"/>
          <w:color w:val="000000"/>
          <w:sz w:val="32"/>
          <w:szCs w:val="32"/>
          <w:lang w:val="zh-CN"/>
        </w:rPr>
        <w:t>251.28</w:t>
      </w:r>
      <w:r>
        <w:rPr>
          <w:rFonts w:hint="eastAsia" w:ascii="仿宋" w:hAnsi="仿宋" w:eastAsia="仿宋"/>
          <w:color w:val="auto"/>
          <w:sz w:val="32"/>
          <w:szCs w:val="32"/>
          <w:highlight w:val="none"/>
        </w:rPr>
        <w:t>万元。与20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年相比，收、支总计各减少</w:t>
      </w:r>
      <w:r>
        <w:rPr>
          <w:rFonts w:ascii="仿宋_GB2312" w:hAnsi="Times New Roman" w:eastAsia="仿宋_GB2312" w:cs="仿宋_GB2312"/>
          <w:color w:val="000000"/>
          <w:sz w:val="32"/>
          <w:szCs w:val="32"/>
          <w:lang w:val="zh-CN"/>
        </w:rPr>
        <w:t>86.54</w:t>
      </w:r>
      <w:r>
        <w:rPr>
          <w:rFonts w:hint="eastAsia" w:ascii="仿宋" w:hAnsi="仿宋" w:eastAsia="仿宋"/>
          <w:color w:val="auto"/>
          <w:sz w:val="32"/>
          <w:szCs w:val="32"/>
          <w:highlight w:val="none"/>
        </w:rPr>
        <w:t>万元，下降</w:t>
      </w:r>
      <w:r>
        <w:rPr>
          <w:rFonts w:ascii="仿宋_GB2312" w:hAnsi="Times New Roman" w:eastAsia="仿宋_GB2312" w:cs="仿宋_GB2312"/>
          <w:color w:val="000000"/>
          <w:sz w:val="32"/>
          <w:szCs w:val="32"/>
          <w:lang w:val="zh-CN"/>
        </w:rPr>
        <w:t>25.6%</w:t>
      </w:r>
      <w:r>
        <w:rPr>
          <w:rFonts w:hint="eastAsia" w:ascii="仿宋" w:hAnsi="仿宋" w:eastAsia="仿宋"/>
          <w:color w:val="auto"/>
          <w:sz w:val="32"/>
          <w:szCs w:val="32"/>
          <w:highlight w:val="none"/>
        </w:rPr>
        <w:t>。主要变动原因是</w:t>
      </w:r>
      <w:r>
        <w:rPr>
          <w:rFonts w:hint="eastAsia" w:ascii="仿宋_GB2312" w:hAnsi="仿宋" w:eastAsia="仿宋_GB2312" w:cs="Times New Roman"/>
          <w:color w:val="000000"/>
          <w:sz w:val="32"/>
          <w:szCs w:val="32"/>
          <w:lang w:eastAsia="zh-CN"/>
        </w:rPr>
        <w:t>贯彻</w:t>
      </w:r>
      <w:r>
        <w:rPr>
          <w:rFonts w:hint="eastAsia" w:ascii="仿宋_GB2312" w:hAnsi="仿宋" w:eastAsia="仿宋_GB2312" w:cs="Times New Roman"/>
          <w:color w:val="000000"/>
          <w:sz w:val="32"/>
          <w:szCs w:val="32"/>
        </w:rPr>
        <w:t>厉行节约，</w:t>
      </w:r>
      <w:r>
        <w:rPr>
          <w:rFonts w:hint="eastAsia" w:ascii="仿宋_GB2312" w:hAnsi="仿宋" w:eastAsia="仿宋_GB2312" w:cs="Times New Roman"/>
          <w:color w:val="000000"/>
          <w:sz w:val="32"/>
          <w:szCs w:val="32"/>
          <w:lang w:eastAsia="zh-CN"/>
        </w:rPr>
        <w:t>压减经费，</w:t>
      </w:r>
      <w:r>
        <w:rPr>
          <w:rFonts w:hint="eastAsia" w:ascii="仿宋_GB2312" w:hAnsi="仿宋" w:eastAsia="仿宋_GB2312" w:cs="Times New Roman"/>
          <w:color w:val="000000"/>
          <w:sz w:val="32"/>
          <w:szCs w:val="32"/>
        </w:rPr>
        <w:t>减少日常经费</w:t>
      </w:r>
      <w:r>
        <w:rPr>
          <w:rFonts w:hint="eastAsia" w:ascii="仿宋_GB2312" w:hAnsi="仿宋" w:eastAsia="仿宋_GB2312" w:cs="Times New Roman"/>
          <w:color w:val="000000"/>
          <w:sz w:val="32"/>
          <w:szCs w:val="32"/>
          <w:lang w:val="en-US" w:eastAsia="zh-CN"/>
        </w:rPr>
        <w:t>和项目经费</w:t>
      </w:r>
      <w:r>
        <w:rPr>
          <w:rFonts w:hint="eastAsia" w:ascii="仿宋" w:hAnsi="仿宋" w:eastAsia="仿宋"/>
          <w:color w:val="auto"/>
          <w:sz w:val="32"/>
          <w:szCs w:val="32"/>
          <w:highlight w:val="none"/>
          <w:lang w:eastAsia="zh-CN"/>
        </w:rPr>
        <w:t>。</w:t>
      </w:r>
    </w:p>
    <w:p>
      <w:pPr>
        <w:pStyle w:val="2"/>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drawing>
          <wp:inline distT="0" distB="0" distL="114300" distR="114300">
            <wp:extent cx="3442335" cy="2439035"/>
            <wp:effectExtent l="4445" t="4445" r="20320" b="1397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w:t>
      </w:r>
      <w:r>
        <w:rPr>
          <w:rFonts w:ascii="仿宋" w:hAnsi="仿宋" w:eastAsia="仿宋"/>
          <w:color w:val="auto"/>
          <w:sz w:val="32"/>
          <w:szCs w:val="32"/>
          <w:highlight w:val="none"/>
        </w:rPr>
        <w:t>1</w:t>
      </w:r>
      <w:r>
        <w:rPr>
          <w:rFonts w:hint="eastAsia" w:ascii="仿宋" w:hAnsi="仿宋" w:eastAsia="仿宋"/>
          <w:color w:val="auto"/>
          <w:sz w:val="32"/>
          <w:szCs w:val="32"/>
          <w:highlight w:val="none"/>
        </w:rPr>
        <w:t>：收、支决算总计变动情况图）（柱状图）</w:t>
      </w:r>
    </w:p>
    <w:p>
      <w:pPr>
        <w:pStyle w:val="2"/>
      </w:pPr>
    </w:p>
    <w:p>
      <w:pPr>
        <w:pStyle w:val="26"/>
        <w:numPr>
          <w:ilvl w:val="0"/>
          <w:numId w:val="2"/>
        </w:numPr>
        <w:spacing w:line="600" w:lineRule="exact"/>
        <w:ind w:firstLineChars="0"/>
        <w:outlineLvl w:val="1"/>
        <w:rPr>
          <w:rStyle w:val="28"/>
          <w:rFonts w:ascii="黑体" w:hAnsi="黑体" w:eastAsia="黑体"/>
          <w:b w:val="0"/>
          <w:color w:val="auto"/>
          <w:highlight w:val="none"/>
        </w:rPr>
      </w:pPr>
      <w:bookmarkStart w:id="28" w:name="_Toc446"/>
      <w:bookmarkStart w:id="29" w:name="_Toc15377206"/>
      <w:bookmarkStart w:id="30" w:name="_Toc15396604"/>
      <w:r>
        <w:rPr>
          <w:rFonts w:hint="eastAsia" w:ascii="黑体" w:hAnsi="黑体" w:eastAsia="黑体"/>
          <w:color w:val="auto"/>
          <w:sz w:val="32"/>
          <w:szCs w:val="32"/>
          <w:highlight w:val="none"/>
        </w:rPr>
        <w:t>收</w:t>
      </w:r>
      <w:r>
        <w:rPr>
          <w:rStyle w:val="28"/>
          <w:rFonts w:hint="eastAsia" w:ascii="黑体" w:hAnsi="黑体" w:eastAsia="黑体"/>
          <w:b w:val="0"/>
          <w:color w:val="auto"/>
          <w:highlight w:val="none"/>
        </w:rPr>
        <w:t>入决算情况说明</w:t>
      </w:r>
      <w:bookmarkEnd w:id="28"/>
      <w:bookmarkEnd w:id="29"/>
      <w:bookmarkEnd w:id="30"/>
    </w:p>
    <w:p>
      <w:pPr>
        <w:spacing w:line="600" w:lineRule="exact"/>
        <w:ind w:firstLine="640" w:firstLineChars="200"/>
        <w:outlineLvl w:val="1"/>
        <w:rPr>
          <w:rFonts w:hint="eastAsia" w:ascii="仿宋" w:hAnsi="仿宋" w:eastAsia="仿宋"/>
          <w:color w:val="auto"/>
          <w:sz w:val="32"/>
          <w:szCs w:val="32"/>
          <w:highlight w:val="none"/>
        </w:rPr>
      </w:pPr>
      <w:bookmarkStart w:id="31" w:name="_Toc10882"/>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年本年收入合计</w:t>
      </w:r>
      <w:r>
        <w:rPr>
          <w:rFonts w:ascii="仿宋_GB2312" w:hAnsi="Times New Roman" w:eastAsia="仿宋_GB2312" w:cs="仿宋_GB2312"/>
          <w:color w:val="000000"/>
          <w:sz w:val="32"/>
          <w:szCs w:val="32"/>
          <w:lang w:val="zh-CN"/>
        </w:rPr>
        <w:t>251.28</w:t>
      </w:r>
      <w:r>
        <w:rPr>
          <w:rFonts w:hint="eastAsia" w:ascii="仿宋" w:hAnsi="仿宋" w:eastAsia="仿宋"/>
          <w:color w:val="auto"/>
          <w:sz w:val="32"/>
          <w:szCs w:val="32"/>
          <w:highlight w:val="none"/>
        </w:rPr>
        <w:t>万元，其中：一般公共预算财政拨款收入</w:t>
      </w:r>
      <w:r>
        <w:rPr>
          <w:rFonts w:ascii="仿宋_GB2312" w:hAnsi="Times New Roman" w:eastAsia="仿宋_GB2312" w:cs="仿宋_GB2312"/>
          <w:color w:val="000000"/>
          <w:sz w:val="32"/>
          <w:szCs w:val="32"/>
          <w:lang w:val="zh-CN"/>
        </w:rPr>
        <w:t>251.28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；政府性基金预算财政拨款收入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国有资本经营预算财政拨款收入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；上级补助收入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；事业收入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；附属单位上缴收入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；其他收入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bookmarkEnd w:id="31"/>
    </w:p>
    <w:p>
      <w:pPr>
        <w:pStyle w:val="2"/>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anchor distT="0" distB="0" distL="114300" distR="114300" simplePos="0" relativeHeight="251659264" behindDoc="0" locked="0" layoutInCell="1" allowOverlap="1">
            <wp:simplePos x="0" y="0"/>
            <wp:positionH relativeFrom="column">
              <wp:posOffset>601345</wp:posOffset>
            </wp:positionH>
            <wp:positionV relativeFrom="paragraph">
              <wp:posOffset>182245</wp:posOffset>
            </wp:positionV>
            <wp:extent cx="3604895" cy="3477260"/>
            <wp:effectExtent l="4445" t="4445" r="10160" b="23495"/>
            <wp:wrapNone/>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spacing w:line="600" w:lineRule="exact"/>
        <w:ind w:firstLine="640" w:firstLineChars="200"/>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1280" w:firstLineChars="400"/>
        <w:rPr>
          <w:rFonts w:ascii="仿宋_GB2312" w:eastAsia="仿宋_GB2312"/>
          <w:color w:val="auto"/>
          <w:sz w:val="32"/>
          <w:szCs w:val="32"/>
          <w:highlight w:val="none"/>
        </w:rPr>
      </w:pPr>
      <w:r>
        <w:rPr>
          <w:rFonts w:hint="eastAsia" w:ascii="仿宋" w:hAnsi="仿宋" w:eastAsia="仿宋"/>
          <w:color w:val="auto"/>
          <w:sz w:val="32"/>
          <w:szCs w:val="32"/>
          <w:highlight w:val="none"/>
        </w:rPr>
        <w:t>（图2：收入决算结构图）（饼状图）</w:t>
      </w:r>
    </w:p>
    <w:p>
      <w:pPr>
        <w:pStyle w:val="26"/>
        <w:numPr>
          <w:ilvl w:val="0"/>
          <w:numId w:val="2"/>
        </w:numPr>
        <w:spacing w:line="600" w:lineRule="exact"/>
        <w:ind w:firstLineChars="0"/>
        <w:outlineLvl w:val="1"/>
        <w:rPr>
          <w:rStyle w:val="28"/>
          <w:rFonts w:ascii="黑体" w:hAnsi="黑体" w:eastAsia="黑体"/>
          <w:b w:val="0"/>
          <w:color w:val="auto"/>
          <w:highlight w:val="none"/>
        </w:rPr>
      </w:pPr>
      <w:bookmarkStart w:id="32" w:name="_Toc15396605"/>
      <w:bookmarkStart w:id="33" w:name="_Toc32369"/>
      <w:bookmarkStart w:id="34" w:name="_Toc15377207"/>
      <w:r>
        <w:rPr>
          <w:rFonts w:hint="eastAsia" w:ascii="黑体" w:hAnsi="黑体" w:eastAsia="黑体"/>
          <w:color w:val="auto"/>
          <w:sz w:val="32"/>
          <w:szCs w:val="32"/>
          <w:highlight w:val="none"/>
        </w:rPr>
        <w:t>支</w:t>
      </w:r>
      <w:r>
        <w:rPr>
          <w:rStyle w:val="28"/>
          <w:rFonts w:hint="eastAsia" w:ascii="黑体" w:hAnsi="黑体" w:eastAsia="黑体"/>
          <w:b w:val="0"/>
          <w:color w:val="auto"/>
          <w:highlight w:val="none"/>
        </w:rPr>
        <w:t>出决算情况说明</w:t>
      </w:r>
      <w:bookmarkEnd w:id="32"/>
      <w:bookmarkEnd w:id="33"/>
      <w:bookmarkEnd w:id="34"/>
    </w:p>
    <w:p>
      <w:pPr>
        <w:spacing w:line="600" w:lineRule="exact"/>
        <w:ind w:firstLine="640" w:firstLineChars="200"/>
        <w:outlineLvl w:val="1"/>
        <w:rPr>
          <w:rFonts w:hint="eastAsia" w:ascii="仿宋" w:hAnsi="仿宋" w:eastAsia="仿宋"/>
          <w:color w:val="auto"/>
          <w:sz w:val="32"/>
          <w:szCs w:val="32"/>
          <w:highlight w:val="none"/>
        </w:rPr>
      </w:pPr>
      <w:bookmarkStart w:id="35" w:name="_Toc347"/>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年本年支出合计</w:t>
      </w:r>
      <w:r>
        <w:rPr>
          <w:rFonts w:ascii="仿宋_GB2312" w:hAnsi="Times New Roman" w:eastAsia="仿宋_GB2312" w:cs="仿宋_GB2312"/>
          <w:color w:val="000000"/>
          <w:sz w:val="32"/>
          <w:szCs w:val="32"/>
          <w:lang w:val="zh-CN"/>
        </w:rPr>
        <w:t>251.28</w:t>
      </w:r>
      <w:r>
        <w:rPr>
          <w:rFonts w:hint="eastAsia" w:ascii="仿宋" w:hAnsi="仿宋" w:eastAsia="仿宋"/>
          <w:color w:val="auto"/>
          <w:sz w:val="32"/>
          <w:szCs w:val="32"/>
          <w:highlight w:val="none"/>
        </w:rPr>
        <w:t>万元，其中：基本支出</w:t>
      </w:r>
      <w:r>
        <w:rPr>
          <w:rFonts w:ascii="仿宋_GB2312" w:hAnsi="Times New Roman" w:eastAsia="仿宋_GB2312" w:cs="仿宋_GB2312"/>
          <w:color w:val="000000"/>
          <w:sz w:val="32"/>
          <w:szCs w:val="32"/>
          <w:lang w:val="zh-CN"/>
        </w:rPr>
        <w:t>214.15</w:t>
      </w:r>
      <w:r>
        <w:rPr>
          <w:rFonts w:hint="eastAsia" w:ascii="仿宋" w:hAnsi="仿宋" w:eastAsia="仿宋"/>
          <w:color w:val="auto"/>
          <w:sz w:val="32"/>
          <w:szCs w:val="32"/>
          <w:highlight w:val="none"/>
        </w:rPr>
        <w:t>万元，占</w:t>
      </w:r>
      <w:r>
        <w:rPr>
          <w:rFonts w:ascii="仿宋_GB2312" w:hAnsi="Times New Roman" w:eastAsia="仿宋_GB2312" w:cs="仿宋_GB2312"/>
          <w:color w:val="000000"/>
          <w:sz w:val="32"/>
          <w:szCs w:val="32"/>
          <w:lang w:val="zh-CN"/>
        </w:rPr>
        <w:t>85.2</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ascii="仿宋_GB2312" w:hAnsi="Times New Roman" w:eastAsia="仿宋_GB2312" w:cs="仿宋_GB2312"/>
          <w:color w:val="000000"/>
          <w:sz w:val="32"/>
          <w:szCs w:val="32"/>
          <w:lang w:val="zh-CN"/>
        </w:rPr>
        <w:t>37.13</w:t>
      </w:r>
      <w:r>
        <w:rPr>
          <w:rFonts w:hint="eastAsia" w:ascii="仿宋" w:hAnsi="仿宋" w:eastAsia="仿宋"/>
          <w:color w:val="auto"/>
          <w:sz w:val="32"/>
          <w:szCs w:val="32"/>
          <w:highlight w:val="none"/>
        </w:rPr>
        <w:t>万元，占</w:t>
      </w:r>
      <w:r>
        <w:rPr>
          <w:rFonts w:ascii="仿宋_GB2312" w:hAnsi="Times New Roman" w:eastAsia="仿宋_GB2312" w:cs="仿宋_GB2312"/>
          <w:color w:val="000000"/>
          <w:sz w:val="32"/>
          <w:szCs w:val="32"/>
          <w:lang w:val="zh-CN"/>
        </w:rPr>
        <w:t>14.8</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；上缴上级支出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；对附属单位补助支出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bookmarkEnd w:id="35"/>
    </w:p>
    <w:p>
      <w:pPr>
        <w:pStyle w:val="2"/>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drawing>
          <wp:inline distT="0" distB="0" distL="114300" distR="114300">
            <wp:extent cx="3947160" cy="2094865"/>
            <wp:effectExtent l="4445" t="4445" r="10795" b="1524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spacing w:line="600" w:lineRule="exact"/>
        <w:ind w:firstLine="1600" w:firstLineChars="500"/>
        <w:rPr>
          <w:rFonts w:ascii="仿宋_GB2312" w:eastAsia="仿宋_GB2312"/>
          <w:color w:val="auto"/>
          <w:sz w:val="32"/>
          <w:szCs w:val="32"/>
          <w:highlight w:val="none"/>
        </w:rPr>
      </w:pPr>
      <w:r>
        <w:rPr>
          <w:rFonts w:hint="eastAsia" w:ascii="仿宋" w:hAnsi="仿宋" w:eastAsia="仿宋"/>
          <w:color w:val="auto"/>
          <w:sz w:val="32"/>
          <w:szCs w:val="32"/>
          <w:highlight w:val="none"/>
        </w:rPr>
        <w:t>（图3：支出决算结构图）（饼状图）</w:t>
      </w:r>
    </w:p>
    <w:p>
      <w:pPr>
        <w:spacing w:line="600" w:lineRule="exact"/>
        <w:ind w:firstLine="640" w:firstLineChars="200"/>
        <w:outlineLvl w:val="1"/>
        <w:rPr>
          <w:rStyle w:val="28"/>
          <w:rFonts w:ascii="黑体" w:hAnsi="黑体" w:eastAsia="黑体"/>
          <w:b w:val="0"/>
          <w:color w:val="auto"/>
          <w:highlight w:val="none"/>
        </w:rPr>
      </w:pPr>
      <w:bookmarkStart w:id="36" w:name="_Toc15377208"/>
      <w:bookmarkStart w:id="37" w:name="_Toc14217"/>
      <w:bookmarkStart w:id="38" w:name="_Toc15396606"/>
      <w:r>
        <w:rPr>
          <w:rFonts w:hint="eastAsia" w:ascii="黑体" w:hAnsi="黑体" w:eastAsia="黑体"/>
          <w:color w:val="auto"/>
          <w:sz w:val="32"/>
          <w:szCs w:val="32"/>
          <w:highlight w:val="none"/>
        </w:rPr>
        <w:t>四、财</w:t>
      </w:r>
      <w:r>
        <w:rPr>
          <w:rStyle w:val="28"/>
          <w:rFonts w:hint="eastAsia" w:ascii="黑体" w:hAnsi="黑体" w:eastAsia="黑体"/>
          <w:b w:val="0"/>
          <w:color w:val="auto"/>
          <w:highlight w:val="none"/>
        </w:rPr>
        <w:t>政拨款收入支出决算总体情况说明</w:t>
      </w:r>
      <w:bookmarkEnd w:id="36"/>
      <w:bookmarkEnd w:id="37"/>
      <w:bookmarkEnd w:id="38"/>
    </w:p>
    <w:p>
      <w:pPr>
        <w:spacing w:line="600" w:lineRule="exact"/>
        <w:ind w:firstLine="640"/>
        <w:rPr>
          <w:rFonts w:hint="eastAsia" w:ascii="仿宋_GB2312" w:hAnsi="仿宋" w:eastAsia="仿宋_GB2312" w:cs="Times New Roman"/>
          <w:color w:val="000000"/>
          <w:sz w:val="32"/>
          <w:szCs w:val="32"/>
          <w:lang w:val="en-US"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年财政拨款收、支总计</w:t>
      </w:r>
      <w:r>
        <w:rPr>
          <w:rFonts w:ascii="仿宋_GB2312" w:hAnsi="Times New Roman" w:eastAsia="仿宋_GB2312" w:cs="仿宋_GB2312"/>
          <w:color w:val="000000"/>
          <w:sz w:val="32"/>
          <w:szCs w:val="32"/>
          <w:lang w:val="zh-CN"/>
        </w:rPr>
        <w:t>251.28</w:t>
      </w:r>
      <w:r>
        <w:rPr>
          <w:rFonts w:hint="eastAsia" w:ascii="仿宋" w:hAnsi="仿宋" w:eastAsia="仿宋"/>
          <w:color w:val="auto"/>
          <w:sz w:val="32"/>
          <w:szCs w:val="32"/>
          <w:highlight w:val="none"/>
        </w:rPr>
        <w:t>万元。与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年相比，财政拨款收、支总计各减少</w:t>
      </w:r>
      <w:r>
        <w:rPr>
          <w:rFonts w:ascii="仿宋_GB2312" w:hAnsi="Times New Roman" w:eastAsia="仿宋_GB2312" w:cs="仿宋_GB2312"/>
          <w:color w:val="000000"/>
          <w:sz w:val="32"/>
          <w:szCs w:val="32"/>
          <w:lang w:val="zh-CN"/>
        </w:rPr>
        <w:t>86.54</w:t>
      </w:r>
      <w:r>
        <w:rPr>
          <w:rFonts w:hint="eastAsia" w:ascii="仿宋" w:hAnsi="仿宋" w:eastAsia="仿宋"/>
          <w:color w:val="auto"/>
          <w:sz w:val="32"/>
          <w:szCs w:val="32"/>
          <w:highlight w:val="none"/>
        </w:rPr>
        <w:t>万元，下降</w:t>
      </w:r>
      <w:r>
        <w:rPr>
          <w:rFonts w:ascii="仿宋_GB2312" w:hAnsi="Times New Roman" w:eastAsia="仿宋_GB2312" w:cs="仿宋_GB2312"/>
          <w:color w:val="000000"/>
          <w:sz w:val="32"/>
          <w:szCs w:val="32"/>
          <w:lang w:val="zh-CN"/>
        </w:rPr>
        <w:t>25.6</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_GB2312" w:hAnsi="仿宋" w:eastAsia="仿宋_GB2312" w:cs="Times New Roman"/>
          <w:color w:val="000000"/>
          <w:sz w:val="32"/>
          <w:szCs w:val="32"/>
          <w:lang w:eastAsia="zh-CN"/>
        </w:rPr>
        <w:t>贯彻</w:t>
      </w:r>
      <w:r>
        <w:rPr>
          <w:rFonts w:hint="eastAsia" w:ascii="仿宋_GB2312" w:hAnsi="仿宋" w:eastAsia="仿宋_GB2312" w:cs="Times New Roman"/>
          <w:color w:val="000000"/>
          <w:sz w:val="32"/>
          <w:szCs w:val="32"/>
        </w:rPr>
        <w:t>厉行节约，</w:t>
      </w:r>
      <w:r>
        <w:rPr>
          <w:rFonts w:hint="eastAsia" w:ascii="仿宋_GB2312" w:hAnsi="仿宋" w:eastAsia="仿宋_GB2312" w:cs="Times New Roman"/>
          <w:color w:val="000000"/>
          <w:sz w:val="32"/>
          <w:szCs w:val="32"/>
          <w:lang w:eastAsia="zh-CN"/>
        </w:rPr>
        <w:t>压减经费，</w:t>
      </w:r>
      <w:r>
        <w:rPr>
          <w:rFonts w:hint="eastAsia" w:ascii="仿宋_GB2312" w:hAnsi="仿宋" w:eastAsia="仿宋_GB2312" w:cs="Times New Roman"/>
          <w:color w:val="000000"/>
          <w:sz w:val="32"/>
          <w:szCs w:val="32"/>
        </w:rPr>
        <w:t>减少日常经费</w:t>
      </w:r>
      <w:r>
        <w:rPr>
          <w:rFonts w:hint="eastAsia" w:ascii="仿宋_GB2312" w:hAnsi="仿宋" w:eastAsia="仿宋_GB2312" w:cs="Times New Roman"/>
          <w:color w:val="000000"/>
          <w:sz w:val="32"/>
          <w:szCs w:val="32"/>
          <w:lang w:val="en-US" w:eastAsia="zh-CN"/>
        </w:rPr>
        <w:t>和项目经费。</w:t>
      </w:r>
    </w:p>
    <w:p>
      <w:pPr>
        <w:pStyle w:val="2"/>
        <w:rPr>
          <w:rFonts w:hint="eastAsia" w:ascii="仿宋_GB2312" w:hAnsi="仿宋" w:eastAsia="仿宋_GB2312" w:cs="Times New Roman"/>
          <w:color w:val="000000"/>
          <w:sz w:val="32"/>
          <w:szCs w:val="32"/>
          <w:lang w:val="en-US" w:eastAsia="zh-CN"/>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drawing>
          <wp:inline distT="0" distB="0" distL="114300" distR="114300">
            <wp:extent cx="3442335" cy="2439035"/>
            <wp:effectExtent l="4445" t="4445" r="2032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（图4：财政拨款收、支决算总计变动情况）（柱状图）</w:t>
      </w:r>
    </w:p>
    <w:p>
      <w:pPr>
        <w:spacing w:line="600" w:lineRule="exact"/>
        <w:ind w:firstLine="640"/>
        <w:rPr>
          <w:rFonts w:ascii="仿宋" w:hAnsi="仿宋" w:eastAsia="仿宋"/>
          <w:b/>
          <w:color w:val="auto"/>
          <w:sz w:val="32"/>
          <w:szCs w:val="32"/>
          <w:highlight w:val="none"/>
        </w:rPr>
      </w:pPr>
    </w:p>
    <w:p>
      <w:pPr>
        <w:spacing w:line="600" w:lineRule="exact"/>
        <w:ind w:firstLine="640" w:firstLineChars="200"/>
        <w:outlineLvl w:val="1"/>
        <w:rPr>
          <w:rStyle w:val="28"/>
          <w:rFonts w:ascii="黑体" w:hAnsi="黑体" w:eastAsia="黑体"/>
          <w:b w:val="0"/>
          <w:color w:val="auto"/>
          <w:highlight w:val="none"/>
        </w:rPr>
      </w:pPr>
      <w:bookmarkStart w:id="113" w:name="_GoBack"/>
      <w:bookmarkEnd w:id="113"/>
      <w:bookmarkStart w:id="39" w:name="_Toc15396607"/>
      <w:bookmarkStart w:id="40" w:name="_Toc15377209"/>
      <w:bookmarkStart w:id="41" w:name="_Toc28991"/>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28"/>
          <w:rFonts w:hint="eastAsia" w:ascii="黑体" w:hAnsi="黑体" w:eastAsia="黑体"/>
          <w:b w:val="0"/>
          <w:color w:val="auto"/>
          <w:highlight w:val="none"/>
        </w:rPr>
        <w:t>般公共预算财政拨款支出决算情况说明</w:t>
      </w:r>
      <w:bookmarkEnd w:id="39"/>
      <w:bookmarkEnd w:id="40"/>
      <w:bookmarkEnd w:id="41"/>
    </w:p>
    <w:p>
      <w:pPr>
        <w:spacing w:line="600" w:lineRule="exact"/>
        <w:ind w:firstLine="643" w:firstLineChars="200"/>
        <w:outlineLvl w:val="2"/>
        <w:rPr>
          <w:rFonts w:ascii="仿宋" w:hAnsi="仿宋" w:eastAsia="仿宋"/>
          <w:b/>
          <w:color w:val="auto"/>
          <w:sz w:val="32"/>
          <w:szCs w:val="32"/>
          <w:highlight w:val="none"/>
        </w:rPr>
      </w:pPr>
      <w:bookmarkStart w:id="42" w:name="_Toc29459"/>
      <w:bookmarkStart w:id="43" w:name="_Toc15377210"/>
      <w:r>
        <w:rPr>
          <w:rFonts w:hint="eastAsia" w:ascii="仿宋" w:hAnsi="仿宋" w:eastAsia="仿宋"/>
          <w:b/>
          <w:color w:val="auto"/>
          <w:sz w:val="32"/>
          <w:szCs w:val="32"/>
          <w:highlight w:val="none"/>
        </w:rPr>
        <w:t>（一）一般公共预算财政拨款支出决算总体情况</w:t>
      </w:r>
      <w:bookmarkEnd w:id="42"/>
      <w:bookmarkEnd w:id="43"/>
    </w:p>
    <w:p>
      <w:pPr>
        <w:spacing w:line="600" w:lineRule="exact"/>
        <w:ind w:firstLine="640" w:firstLineChars="200"/>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ascii="仿宋_GB2312" w:hAnsi="Times New Roman" w:eastAsia="仿宋_GB2312" w:cs="仿宋_GB2312"/>
          <w:color w:val="000000"/>
          <w:sz w:val="32"/>
          <w:szCs w:val="32"/>
          <w:lang w:val="zh-CN"/>
        </w:rPr>
        <w:t>251.28</w:t>
      </w:r>
      <w:r>
        <w:rPr>
          <w:rFonts w:hint="eastAsia" w:ascii="仿宋" w:hAnsi="仿宋" w:eastAsia="仿宋"/>
          <w:color w:val="auto"/>
          <w:sz w:val="32"/>
          <w:szCs w:val="32"/>
          <w:highlight w:val="none"/>
        </w:rPr>
        <w:t>万元，占本年支出合计的</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年相比，一般公共预算财政拨款</w:t>
      </w:r>
      <w:r>
        <w:rPr>
          <w:rFonts w:hint="eastAsia" w:ascii="仿宋" w:hAnsi="仿宋" w:eastAsia="仿宋"/>
          <w:color w:val="auto"/>
          <w:sz w:val="32"/>
          <w:szCs w:val="32"/>
          <w:highlight w:val="none"/>
          <w:lang w:eastAsia="zh-CN"/>
        </w:rPr>
        <w:t>支出</w:t>
      </w:r>
      <w:r>
        <w:rPr>
          <w:rFonts w:hint="eastAsia" w:ascii="仿宋" w:hAnsi="仿宋" w:eastAsia="仿宋"/>
          <w:color w:val="auto"/>
          <w:sz w:val="32"/>
          <w:szCs w:val="32"/>
          <w:highlight w:val="none"/>
        </w:rPr>
        <w:t>减少</w:t>
      </w:r>
      <w:r>
        <w:rPr>
          <w:rFonts w:ascii="仿宋_GB2312" w:hAnsi="Times New Roman" w:eastAsia="仿宋_GB2312" w:cs="仿宋_GB2312"/>
          <w:color w:val="000000"/>
          <w:sz w:val="32"/>
          <w:szCs w:val="32"/>
          <w:lang w:val="zh-CN"/>
        </w:rPr>
        <w:t>86.54</w:t>
      </w:r>
      <w:r>
        <w:rPr>
          <w:rFonts w:hint="eastAsia" w:ascii="仿宋" w:hAnsi="仿宋" w:eastAsia="仿宋"/>
          <w:color w:val="auto"/>
          <w:sz w:val="32"/>
          <w:szCs w:val="32"/>
          <w:highlight w:val="none"/>
        </w:rPr>
        <w:t>万元，下降</w:t>
      </w:r>
      <w:r>
        <w:rPr>
          <w:rFonts w:ascii="仿宋_GB2312" w:hAnsi="Times New Roman" w:eastAsia="仿宋_GB2312" w:cs="仿宋_GB2312"/>
          <w:color w:val="000000"/>
          <w:sz w:val="32"/>
          <w:szCs w:val="32"/>
          <w:lang w:val="zh-CN"/>
        </w:rPr>
        <w:t>25.6</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_GB2312" w:hAnsi="仿宋" w:eastAsia="仿宋_GB2312" w:cs="Times New Roman"/>
          <w:color w:val="000000"/>
          <w:sz w:val="32"/>
          <w:szCs w:val="32"/>
          <w:lang w:eastAsia="zh-CN"/>
        </w:rPr>
        <w:t>贯彻</w:t>
      </w:r>
      <w:r>
        <w:rPr>
          <w:rFonts w:hint="eastAsia" w:ascii="仿宋_GB2312" w:hAnsi="仿宋" w:eastAsia="仿宋_GB2312" w:cs="Times New Roman"/>
          <w:color w:val="000000"/>
          <w:sz w:val="32"/>
          <w:szCs w:val="32"/>
        </w:rPr>
        <w:t>厉行节约，</w:t>
      </w:r>
      <w:r>
        <w:rPr>
          <w:rFonts w:hint="eastAsia" w:ascii="仿宋_GB2312" w:hAnsi="仿宋" w:eastAsia="仿宋_GB2312" w:cs="Times New Roman"/>
          <w:color w:val="000000"/>
          <w:sz w:val="32"/>
          <w:szCs w:val="32"/>
          <w:lang w:eastAsia="zh-CN"/>
        </w:rPr>
        <w:t>压减经费，</w:t>
      </w:r>
      <w:r>
        <w:rPr>
          <w:rFonts w:hint="eastAsia" w:ascii="仿宋_GB2312" w:hAnsi="仿宋" w:eastAsia="仿宋_GB2312" w:cs="Times New Roman"/>
          <w:color w:val="000000"/>
          <w:sz w:val="32"/>
          <w:szCs w:val="32"/>
        </w:rPr>
        <w:t>减少日常经费</w:t>
      </w:r>
      <w:r>
        <w:rPr>
          <w:rFonts w:hint="eastAsia" w:ascii="仿宋_GB2312" w:hAnsi="仿宋" w:eastAsia="仿宋_GB2312" w:cs="Times New Roman"/>
          <w:color w:val="000000"/>
          <w:sz w:val="32"/>
          <w:szCs w:val="32"/>
          <w:lang w:val="en-US" w:eastAsia="zh-CN"/>
        </w:rPr>
        <w:t>和项目经费。</w:t>
      </w:r>
    </w:p>
    <w:p>
      <w:pPr>
        <w:spacing w:line="600" w:lineRule="exact"/>
        <w:ind w:firstLine="640" w:firstLineChars="200"/>
        <w:rPr>
          <w:rFonts w:ascii="仿宋" w:hAnsi="仿宋" w:eastAsia="仿宋"/>
          <w:color w:val="auto"/>
          <w:sz w:val="32"/>
          <w:szCs w:val="32"/>
          <w:highlight w:val="none"/>
        </w:rPr>
      </w:pPr>
    </w:p>
    <w:p>
      <w:pPr>
        <w:pStyle w:val="2"/>
        <w:rPr>
          <w:rFonts w:ascii="仿宋" w:hAnsi="仿宋" w:eastAsia="仿宋"/>
          <w:color w:val="auto"/>
          <w:sz w:val="32"/>
          <w:szCs w:val="32"/>
          <w:highlight w:val="none"/>
        </w:rPr>
      </w:pPr>
    </w:p>
    <w:p>
      <w:pPr>
        <w:pStyle w:val="2"/>
        <w:rPr>
          <w:rFonts w:ascii="仿宋" w:hAnsi="仿宋" w:eastAsia="仿宋"/>
          <w:color w:val="auto"/>
          <w:sz w:val="32"/>
          <w:szCs w:val="32"/>
          <w:highlight w:val="none"/>
        </w:rPr>
      </w:pPr>
    </w:p>
    <w:p>
      <w:pPr>
        <w:pStyle w:val="2"/>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drawing>
          <wp:inline distT="0" distB="0" distL="114300" distR="114300">
            <wp:extent cx="3442335" cy="2439035"/>
            <wp:effectExtent l="4445" t="4445" r="20320" b="1397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（图5：一般公共预算财政拨款支出决算变动情况）（柱状图）</w:t>
      </w:r>
    </w:p>
    <w:p>
      <w:pPr>
        <w:spacing w:line="600" w:lineRule="exact"/>
        <w:ind w:firstLine="643" w:firstLineChars="200"/>
        <w:outlineLvl w:val="2"/>
        <w:rPr>
          <w:rFonts w:ascii="仿宋" w:hAnsi="仿宋" w:eastAsia="仿宋"/>
          <w:b/>
          <w:color w:val="auto"/>
          <w:sz w:val="32"/>
          <w:szCs w:val="32"/>
          <w:highlight w:val="none"/>
        </w:rPr>
      </w:pPr>
      <w:bookmarkStart w:id="44" w:name="_Toc15377211"/>
      <w:bookmarkStart w:id="45" w:name="_Toc19874"/>
      <w:r>
        <w:rPr>
          <w:rFonts w:hint="eastAsia" w:ascii="仿宋" w:hAnsi="仿宋" w:eastAsia="仿宋"/>
          <w:b/>
          <w:color w:val="auto"/>
          <w:sz w:val="32"/>
          <w:szCs w:val="32"/>
          <w:highlight w:val="none"/>
        </w:rPr>
        <w:t>（二）一般公共预算财政拨款支出决算结构情况</w:t>
      </w:r>
      <w:bookmarkEnd w:id="44"/>
      <w:bookmarkEnd w:id="45"/>
    </w:p>
    <w:p>
      <w:pPr>
        <w:spacing w:line="600" w:lineRule="exact"/>
        <w:ind w:firstLine="640"/>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ascii="仿宋_GB2312" w:hAnsi="Times New Roman" w:eastAsia="仿宋_GB2312" w:cs="仿宋_GB2312"/>
          <w:color w:val="000000"/>
          <w:sz w:val="32"/>
          <w:szCs w:val="32"/>
          <w:lang w:val="zh-CN"/>
        </w:rPr>
        <w:t>251.28</w:t>
      </w:r>
      <w:r>
        <w:rPr>
          <w:rFonts w:hint="eastAsia" w:ascii="仿宋" w:hAnsi="仿宋" w:eastAsia="仿宋"/>
          <w:color w:val="auto"/>
          <w:sz w:val="32"/>
          <w:szCs w:val="32"/>
          <w:highlight w:val="none"/>
        </w:rPr>
        <w:t>万元，主要用于以下方面:一般公共服务支出</w:t>
      </w:r>
      <w:r>
        <w:rPr>
          <w:rFonts w:hint="eastAsia" w:ascii="仿宋" w:hAnsi="仿宋" w:eastAsia="仿宋"/>
          <w:color w:val="auto"/>
          <w:sz w:val="32"/>
          <w:szCs w:val="32"/>
          <w:highlight w:val="none"/>
          <w:lang w:val="zh-CN"/>
        </w:rPr>
        <w:t>178.73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zh-CN"/>
        </w:rPr>
        <w:t>71.1</w:t>
      </w:r>
      <w:r>
        <w:rPr>
          <w:rFonts w:hint="eastAsia" w:ascii="仿宋" w:hAnsi="仿宋" w:eastAsia="仿宋"/>
          <w:color w:val="auto"/>
          <w:sz w:val="32"/>
          <w:szCs w:val="32"/>
          <w:highlight w:val="none"/>
        </w:rPr>
        <w:t>%；教育支出</w:t>
      </w:r>
      <w:r>
        <w:rPr>
          <w:rFonts w:hint="eastAsia" w:ascii="仿宋" w:hAnsi="仿宋" w:eastAsia="仿宋"/>
          <w:color w:val="auto"/>
          <w:sz w:val="32"/>
          <w:szCs w:val="32"/>
          <w:highlight w:val="none"/>
          <w:lang w:val="zh-CN"/>
        </w:rPr>
        <w:t>0.16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zh-CN"/>
        </w:rPr>
        <w:t>0.1</w:t>
      </w:r>
      <w:r>
        <w:rPr>
          <w:rFonts w:hint="eastAsia" w:ascii="仿宋" w:hAnsi="仿宋" w:eastAsia="仿宋"/>
          <w:color w:val="auto"/>
          <w:sz w:val="32"/>
          <w:szCs w:val="32"/>
          <w:highlight w:val="none"/>
        </w:rPr>
        <w:t>%；科学技术支出</w:t>
      </w:r>
      <w:r>
        <w:rPr>
          <w:rFonts w:hint="eastAsia" w:ascii="仿宋" w:hAnsi="仿宋" w:eastAsia="仿宋"/>
          <w:color w:val="auto"/>
          <w:sz w:val="32"/>
          <w:szCs w:val="32"/>
          <w:highlight w:val="none"/>
          <w:lang w:val="zh-CN"/>
        </w:rPr>
        <w:t>37.28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zh-CN"/>
        </w:rPr>
        <w:t>14.8</w:t>
      </w:r>
      <w:r>
        <w:rPr>
          <w:rFonts w:hint="eastAsia" w:ascii="仿宋" w:hAnsi="仿宋" w:eastAsia="仿宋"/>
          <w:color w:val="auto"/>
          <w:sz w:val="32"/>
          <w:szCs w:val="32"/>
          <w:highlight w:val="none"/>
        </w:rPr>
        <w:t>%；文化旅游体育与传媒支出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%；社会保障和就业支出</w:t>
      </w:r>
      <w:r>
        <w:rPr>
          <w:rFonts w:hint="eastAsia" w:ascii="仿宋" w:hAnsi="仿宋" w:eastAsia="仿宋"/>
          <w:color w:val="auto"/>
          <w:sz w:val="32"/>
          <w:szCs w:val="32"/>
          <w:highlight w:val="none"/>
          <w:lang w:val="zh-CN"/>
        </w:rPr>
        <w:t>11.6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zh-CN"/>
        </w:rPr>
        <w:t>4.6</w:t>
      </w:r>
      <w:r>
        <w:rPr>
          <w:rFonts w:hint="eastAsia" w:ascii="仿宋" w:hAnsi="仿宋" w:eastAsia="仿宋"/>
          <w:color w:val="auto"/>
          <w:sz w:val="32"/>
          <w:szCs w:val="32"/>
          <w:highlight w:val="none"/>
        </w:rPr>
        <w:t>%；卫生健康支出</w:t>
      </w:r>
      <w:r>
        <w:rPr>
          <w:rFonts w:hint="eastAsia" w:ascii="仿宋" w:hAnsi="仿宋" w:eastAsia="仿宋"/>
          <w:color w:val="auto"/>
          <w:sz w:val="32"/>
          <w:szCs w:val="32"/>
          <w:highlight w:val="none"/>
          <w:lang w:val="zh-CN"/>
        </w:rPr>
        <w:t>10.46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zh-CN"/>
        </w:rPr>
        <w:t>4.2</w:t>
      </w:r>
      <w:r>
        <w:rPr>
          <w:rFonts w:hint="eastAsia" w:ascii="仿宋" w:hAnsi="仿宋" w:eastAsia="仿宋"/>
          <w:color w:val="auto"/>
          <w:sz w:val="32"/>
          <w:szCs w:val="32"/>
          <w:highlight w:val="none"/>
        </w:rPr>
        <w:t>%；住房保障支出</w:t>
      </w:r>
      <w:r>
        <w:rPr>
          <w:rFonts w:hint="eastAsia" w:ascii="仿宋" w:hAnsi="仿宋" w:eastAsia="仿宋"/>
          <w:color w:val="auto"/>
          <w:sz w:val="32"/>
          <w:szCs w:val="32"/>
          <w:highlight w:val="none"/>
          <w:lang w:val="zh-CN"/>
        </w:rPr>
        <w:t>13.05</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zh-CN"/>
        </w:rPr>
        <w:t>5.2</w:t>
      </w:r>
      <w:r>
        <w:rPr>
          <w:rFonts w:hint="eastAsia" w:ascii="仿宋" w:hAnsi="仿宋" w:eastAsia="仿宋"/>
          <w:color w:val="auto"/>
          <w:sz w:val="32"/>
          <w:szCs w:val="32"/>
          <w:highlight w:val="none"/>
        </w:rPr>
        <w:t>%。</w:t>
      </w:r>
    </w:p>
    <w:p>
      <w:pPr>
        <w:spacing w:line="6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lang w:eastAsia="zh-CN"/>
        </w:rPr>
        <w:drawing>
          <wp:anchor distT="0" distB="0" distL="114300" distR="114300" simplePos="0" relativeHeight="251660288" behindDoc="0" locked="0" layoutInCell="1" allowOverlap="1">
            <wp:simplePos x="0" y="0"/>
            <wp:positionH relativeFrom="column">
              <wp:posOffset>630555</wp:posOffset>
            </wp:positionH>
            <wp:positionV relativeFrom="paragraph">
              <wp:posOffset>52705</wp:posOffset>
            </wp:positionV>
            <wp:extent cx="4431030" cy="2294255"/>
            <wp:effectExtent l="4445" t="4445" r="22225" b="6350"/>
            <wp:wrapNone/>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pPr>
        <w:spacing w:line="600" w:lineRule="exact"/>
        <w:ind w:firstLine="640" w:firstLineChars="200"/>
        <w:rPr>
          <w:rFonts w:hint="eastAsia" w:ascii="仿宋" w:hAnsi="仿宋" w:eastAsia="仿宋"/>
          <w:color w:val="auto"/>
          <w:sz w:val="32"/>
          <w:szCs w:val="32"/>
          <w:highlight w:val="none"/>
          <w:lang w:eastAsia="zh-CN"/>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（图6：一般公共预算财政拨款支出决算结构）（饼状图）</w:t>
      </w:r>
    </w:p>
    <w:p>
      <w:pPr>
        <w:spacing w:line="600" w:lineRule="exact"/>
        <w:ind w:firstLine="643" w:firstLineChars="200"/>
        <w:outlineLvl w:val="2"/>
        <w:rPr>
          <w:rFonts w:ascii="仿宋" w:hAnsi="仿宋" w:eastAsia="仿宋"/>
          <w:b/>
          <w:color w:val="auto"/>
          <w:sz w:val="32"/>
          <w:szCs w:val="32"/>
          <w:highlight w:val="none"/>
        </w:rPr>
      </w:pPr>
      <w:bookmarkStart w:id="46" w:name="_Toc5888"/>
      <w:bookmarkStart w:id="47" w:name="_Toc15377212"/>
      <w:r>
        <w:rPr>
          <w:rFonts w:hint="eastAsia" w:ascii="仿宋" w:hAnsi="仿宋" w:eastAsia="仿宋"/>
          <w:b/>
          <w:color w:val="auto"/>
          <w:sz w:val="32"/>
          <w:szCs w:val="32"/>
          <w:highlight w:val="none"/>
        </w:rPr>
        <w:t>（三）一般公共预算财政拨款支出决算具体情况</w:t>
      </w:r>
      <w:bookmarkEnd w:id="46"/>
      <w:bookmarkEnd w:id="47"/>
    </w:p>
    <w:p>
      <w:pPr>
        <w:spacing w:line="600" w:lineRule="exact"/>
        <w:ind w:firstLine="640" w:firstLineChars="200"/>
        <w:outlineLvl w:val="2"/>
        <w:rPr>
          <w:rFonts w:ascii="仿宋_GB2312" w:hAnsi="Times New Roman" w:eastAsia="仿宋_GB2312" w:cs="仿宋_GB2312"/>
          <w:color w:val="000000"/>
          <w:sz w:val="32"/>
          <w:szCs w:val="32"/>
          <w:lang w:val="zh-CN"/>
        </w:rPr>
      </w:pPr>
      <w:bookmarkStart w:id="48" w:name="_Toc15378460"/>
      <w:bookmarkStart w:id="49" w:name="_Toc15377444"/>
      <w:bookmarkStart w:id="50" w:name="_Toc1078"/>
      <w:bookmarkStart w:id="51" w:name="_Toc15377213"/>
      <w:r>
        <w:rPr>
          <w:rFonts w:hint="eastAsia" w:ascii="仿宋_GB2312" w:hAnsi="Times New Roman" w:eastAsia="仿宋_GB2312" w:cs="仿宋_GB2312"/>
          <w:color w:val="000000"/>
          <w:sz w:val="32"/>
          <w:szCs w:val="32"/>
          <w:lang w:val="zh-CN"/>
        </w:rPr>
        <w:t>20</w:t>
      </w:r>
      <w:r>
        <w:rPr>
          <w:rFonts w:hint="eastAsia" w:ascii="仿宋_GB2312" w:hAnsi="Times New Roman" w:eastAsia="仿宋_GB2312" w:cs="仿宋_GB2312"/>
          <w:color w:val="000000"/>
          <w:sz w:val="32"/>
          <w:szCs w:val="32"/>
          <w:lang w:val="en-US" w:eastAsia="zh-CN"/>
        </w:rPr>
        <w:t>22</w:t>
      </w:r>
      <w:r>
        <w:rPr>
          <w:rFonts w:hint="eastAsia" w:ascii="仿宋_GB2312" w:hAnsi="Times New Roman" w:eastAsia="仿宋_GB2312" w:cs="仿宋_GB2312"/>
          <w:color w:val="000000"/>
          <w:sz w:val="32"/>
          <w:szCs w:val="32"/>
          <w:lang w:val="zh-CN"/>
        </w:rPr>
        <w:t>年</w:t>
      </w:r>
      <w:r>
        <w:rPr>
          <w:rFonts w:hint="eastAsia" w:ascii="仿宋_GB2312" w:hAnsi="Times New Roman" w:eastAsia="仿宋_GB2312" w:cs="仿宋_GB2312"/>
          <w:color w:val="000000"/>
          <w:sz w:val="32"/>
          <w:szCs w:val="32"/>
          <w:lang w:val="zh-CN" w:eastAsia="zh-CN"/>
        </w:rPr>
        <w:t>一</w:t>
      </w:r>
      <w:r>
        <w:rPr>
          <w:rFonts w:hint="eastAsia" w:ascii="仿宋_GB2312" w:hAnsi="Times New Roman" w:eastAsia="仿宋_GB2312" w:cs="仿宋_GB2312"/>
          <w:color w:val="000000"/>
          <w:sz w:val="32"/>
          <w:szCs w:val="32"/>
          <w:lang w:val="zh-CN"/>
        </w:rPr>
        <w:t>般公共预算支出决算数为</w:t>
      </w:r>
      <w:r>
        <w:rPr>
          <w:rFonts w:ascii="仿宋_GB2312" w:hAnsi="Times New Roman" w:eastAsia="仿宋_GB2312" w:cs="仿宋_GB2312"/>
          <w:color w:val="000000"/>
          <w:sz w:val="32"/>
          <w:szCs w:val="32"/>
          <w:lang w:val="zh-CN"/>
        </w:rPr>
        <w:t>251.28</w:t>
      </w:r>
      <w:r>
        <w:rPr>
          <w:rFonts w:hint="eastAsia" w:ascii="仿宋_GB2312" w:hAnsi="Times New Roman" w:eastAsia="仿宋_GB2312" w:cs="仿宋_GB2312"/>
          <w:color w:val="000000"/>
          <w:sz w:val="32"/>
          <w:szCs w:val="32"/>
          <w:lang w:val="en-US" w:eastAsia="zh-CN"/>
        </w:rPr>
        <w:t>万元</w:t>
      </w:r>
      <w:r>
        <w:rPr>
          <w:rFonts w:hint="eastAsia" w:ascii="仿宋_GB2312" w:hAnsi="Times New Roman" w:eastAsia="仿宋_GB2312" w:cs="仿宋_GB2312"/>
          <w:color w:val="000000"/>
          <w:sz w:val="32"/>
          <w:szCs w:val="32"/>
          <w:lang w:val="zh-CN"/>
        </w:rPr>
        <w:t>，完成预算</w:t>
      </w:r>
      <w:r>
        <w:rPr>
          <w:rFonts w:hint="eastAsia" w:ascii="仿宋_GB2312" w:hAnsi="Times New Roman" w:eastAsia="仿宋_GB2312" w:cs="仿宋_GB2312"/>
          <w:color w:val="000000"/>
          <w:sz w:val="32"/>
          <w:szCs w:val="32"/>
          <w:lang w:val="en-US" w:eastAsia="zh-CN"/>
        </w:rPr>
        <w:t>100</w:t>
      </w:r>
      <w:r>
        <w:rPr>
          <w:rFonts w:ascii="仿宋_GB2312" w:hAnsi="Times New Roman" w:eastAsia="仿宋_GB2312" w:cs="仿宋_GB2312"/>
          <w:color w:val="000000"/>
          <w:sz w:val="32"/>
          <w:szCs w:val="32"/>
          <w:lang w:val="zh-CN"/>
        </w:rPr>
        <w:t>%</w:t>
      </w:r>
      <w:r>
        <w:rPr>
          <w:rFonts w:hint="eastAsia" w:ascii="仿宋_GB2312" w:hAnsi="Times New Roman" w:eastAsia="仿宋_GB2312" w:cs="仿宋_GB2312"/>
          <w:color w:val="000000"/>
          <w:sz w:val="32"/>
          <w:szCs w:val="32"/>
          <w:lang w:val="zh-CN"/>
        </w:rPr>
        <w:t>。其中：</w:t>
      </w:r>
      <w:bookmarkEnd w:id="48"/>
      <w:bookmarkEnd w:id="49"/>
      <w:bookmarkEnd w:id="50"/>
      <w:bookmarkEnd w:id="51"/>
    </w:p>
    <w:p>
      <w:pPr>
        <w:spacing w:line="600" w:lineRule="exact"/>
        <w:ind w:firstLine="640" w:firstLineChars="200"/>
        <w:rPr>
          <w:rFonts w:ascii="仿宋" w:hAnsi="仿宋" w:eastAsia="仿宋"/>
          <w:b/>
          <w:color w:val="auto"/>
          <w:sz w:val="32"/>
          <w:szCs w:val="32"/>
          <w:highlight w:val="none"/>
        </w:rPr>
      </w:pPr>
      <w:r>
        <w:rPr>
          <w:rFonts w:hint="eastAsia" w:ascii="仿宋_GB2312" w:hAnsi="仿宋_GB2312" w:eastAsia="仿宋_GB2312" w:cs="仿宋_GB2312"/>
          <w:b w:val="0"/>
          <w:bCs/>
          <w:color w:val="auto"/>
          <w:sz w:val="32"/>
          <w:szCs w:val="32"/>
        </w:rPr>
        <w:t>1.一般公共服务（类）群众团体事务（款）行政运行（项）</w:t>
      </w:r>
      <w:r>
        <w:rPr>
          <w:rStyle w:val="16"/>
          <w:rFonts w:ascii="仿宋" w:hAnsi="仿宋" w:eastAsia="仿宋"/>
          <w:bCs/>
          <w:color w:val="auto"/>
          <w:sz w:val="32"/>
          <w:szCs w:val="32"/>
          <w:highlight w:val="none"/>
        </w:rPr>
        <w:t>:</w:t>
      </w:r>
      <w:r>
        <w:rPr>
          <w:rStyle w:val="16"/>
          <w:rFonts w:ascii="仿宋" w:hAnsi="仿宋" w:eastAsia="仿宋"/>
          <w:b w:val="0"/>
          <w:bCs/>
          <w:color w:val="auto"/>
          <w:sz w:val="32"/>
          <w:szCs w:val="32"/>
          <w:highlight w:val="none"/>
        </w:rPr>
        <w:t xml:space="preserve"> </w:t>
      </w:r>
      <w:r>
        <w:rPr>
          <w:rStyle w:val="16"/>
          <w:rFonts w:hint="eastAsia" w:ascii="仿宋" w:hAnsi="仿宋" w:eastAsia="仿宋"/>
          <w:b w:val="0"/>
          <w:bCs/>
          <w:color w:val="auto"/>
          <w:sz w:val="32"/>
          <w:szCs w:val="32"/>
          <w:highlight w:val="none"/>
        </w:rPr>
        <w:t>支出决算为</w:t>
      </w:r>
      <w:r>
        <w:rPr>
          <w:rStyle w:val="16"/>
          <w:rFonts w:hint="eastAsia" w:ascii="仿宋" w:hAnsi="仿宋" w:eastAsia="仿宋"/>
          <w:b w:val="0"/>
          <w:bCs/>
          <w:color w:val="auto"/>
          <w:sz w:val="32"/>
          <w:szCs w:val="32"/>
          <w:highlight w:val="none"/>
          <w:lang w:val="en-US" w:eastAsia="zh-CN"/>
        </w:rPr>
        <w:t>178.73</w:t>
      </w:r>
      <w:r>
        <w:rPr>
          <w:rStyle w:val="16"/>
          <w:rFonts w:hint="eastAsia" w:ascii="仿宋" w:hAnsi="仿宋" w:eastAsia="仿宋"/>
          <w:b w:val="0"/>
          <w:bCs/>
          <w:color w:val="auto"/>
          <w:sz w:val="32"/>
          <w:szCs w:val="32"/>
          <w:highlight w:val="none"/>
        </w:rPr>
        <w:t>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2.教育支出（类）进修及培训（款）培训支出（项）: 支出决算为</w:t>
      </w:r>
      <w:r>
        <w:rPr>
          <w:rFonts w:hint="eastAsia" w:ascii="仿宋_GB2312" w:hAnsi="仿宋_GB2312" w:eastAsia="仿宋_GB2312" w:cs="仿宋_GB2312"/>
          <w:b w:val="0"/>
          <w:bCs/>
          <w:color w:val="auto"/>
          <w:sz w:val="32"/>
          <w:szCs w:val="32"/>
          <w:lang w:val="en-US" w:eastAsia="zh-CN"/>
        </w:rPr>
        <w:t>0.16</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val="en-US" w:eastAsia="zh-CN"/>
        </w:rPr>
        <w:t>100</w:t>
      </w:r>
      <w:r>
        <w:rPr>
          <w:rFonts w:hint="eastAsia" w:ascii="仿宋_GB2312" w:hAnsi="仿宋_GB2312" w:eastAsia="仿宋_GB2312" w:cs="仿宋_GB2312"/>
          <w:b w:val="0"/>
          <w:bCs/>
          <w:color w:val="auto"/>
          <w:sz w:val="32"/>
          <w:szCs w:val="32"/>
        </w:rPr>
        <w:t>%。</w:t>
      </w:r>
    </w:p>
    <w:p>
      <w:pPr>
        <w:spacing w:line="600" w:lineRule="exact"/>
        <w:ind w:firstLine="640" w:firstLineChars="20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3.</w:t>
      </w:r>
      <w:r>
        <w:rPr>
          <w:rFonts w:hint="eastAsia" w:ascii="仿宋_GB2312" w:hAnsi="仿宋_GB2312" w:eastAsia="仿宋_GB2312" w:cs="仿宋_GB2312"/>
          <w:color w:val="000000"/>
          <w:sz w:val="32"/>
          <w:szCs w:val="32"/>
        </w:rPr>
        <w:t>科学技术支出（类）科学技术管理事务（款）行政</w:t>
      </w:r>
      <w:r>
        <w:rPr>
          <w:rFonts w:hint="eastAsia" w:ascii="仿宋_GB2312" w:hAnsi="仿宋_GB2312" w:eastAsia="仿宋_GB2312" w:cs="仿宋_GB2312"/>
          <w:color w:val="000000"/>
          <w:sz w:val="32"/>
          <w:szCs w:val="32"/>
          <w:lang w:val="en-US" w:eastAsia="zh-CN"/>
        </w:rPr>
        <w:t>运行</w:t>
      </w:r>
      <w:r>
        <w:rPr>
          <w:rFonts w:hint="eastAsia" w:ascii="仿宋_GB2312" w:hAnsi="仿宋_GB2312" w:eastAsia="仿宋_GB2312" w:cs="仿宋_GB2312"/>
          <w:color w:val="000000"/>
          <w:sz w:val="32"/>
          <w:szCs w:val="32"/>
        </w:rPr>
        <w:t>（项）</w:t>
      </w:r>
      <w:r>
        <w:rPr>
          <w:rFonts w:hint="eastAsia" w:ascii="仿宋_GB2312" w:hAnsi="仿宋_GB2312" w:eastAsia="仿宋_GB2312" w:cs="仿宋_GB2312"/>
          <w:b w:val="0"/>
          <w:bCs/>
          <w:color w:val="auto"/>
          <w:sz w:val="32"/>
          <w:szCs w:val="32"/>
        </w:rPr>
        <w:t>: 支出决算为</w:t>
      </w:r>
      <w:r>
        <w:rPr>
          <w:rFonts w:hint="eastAsia" w:ascii="仿宋_GB2312" w:hAnsi="仿宋_GB2312" w:eastAsia="仿宋_GB2312" w:cs="仿宋_GB2312"/>
          <w:b w:val="0"/>
          <w:bCs/>
          <w:color w:val="auto"/>
          <w:sz w:val="32"/>
          <w:szCs w:val="32"/>
          <w:lang w:val="en-US" w:eastAsia="zh-CN"/>
        </w:rPr>
        <w:t>0.15</w:t>
      </w:r>
      <w:r>
        <w:rPr>
          <w:rFonts w:hint="eastAsia" w:ascii="仿宋_GB2312" w:hAnsi="仿宋_GB2312" w:eastAsia="仿宋_GB2312" w:cs="仿宋_GB2312"/>
          <w:b w:val="0"/>
          <w:bCs/>
          <w:color w:val="auto"/>
          <w:sz w:val="32"/>
          <w:szCs w:val="32"/>
        </w:rPr>
        <w:t>万元，完成预算</w:t>
      </w:r>
      <w:r>
        <w:rPr>
          <w:rFonts w:hint="eastAsia" w:ascii="仿宋_GB2312" w:hAnsi="仿宋_GB2312" w:eastAsia="仿宋_GB2312" w:cs="仿宋_GB2312"/>
          <w:b w:val="0"/>
          <w:bCs/>
          <w:color w:val="auto"/>
          <w:sz w:val="32"/>
          <w:szCs w:val="32"/>
          <w:lang w:val="en-US" w:eastAsia="zh-CN"/>
        </w:rPr>
        <w:t>100</w:t>
      </w:r>
      <w:r>
        <w:rPr>
          <w:rFonts w:hint="eastAsia" w:ascii="仿宋_GB2312" w:hAnsi="仿宋_GB2312" w:eastAsia="仿宋_GB2312" w:cs="仿宋_GB2312"/>
          <w:b w:val="0"/>
          <w:bCs/>
          <w:color w:val="auto"/>
          <w:sz w:val="32"/>
          <w:szCs w:val="32"/>
        </w:rPr>
        <w:t>%。</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w:t>
      </w:r>
      <w:r>
        <w:rPr>
          <w:rFonts w:hint="eastAsia" w:ascii="仿宋_GB2312" w:hAnsi="仿宋" w:eastAsia="仿宋_GB2312"/>
          <w:color w:val="000000"/>
          <w:sz w:val="32"/>
          <w:szCs w:val="32"/>
        </w:rPr>
        <w:t>科学技术支出（类）科学技术普及（款）</w:t>
      </w:r>
      <w:r>
        <w:rPr>
          <w:rFonts w:hint="eastAsia" w:ascii="仿宋_GB2312" w:hAnsi="仿宋" w:eastAsia="仿宋_GB2312"/>
          <w:color w:val="000000"/>
          <w:sz w:val="32"/>
          <w:szCs w:val="32"/>
          <w:lang w:eastAsia="zh-CN"/>
        </w:rPr>
        <w:t>科普活动</w:t>
      </w:r>
      <w:r>
        <w:rPr>
          <w:rFonts w:hint="eastAsia" w:ascii="仿宋_GB2312" w:hAnsi="仿宋" w:eastAsia="仿宋_GB2312"/>
          <w:color w:val="000000"/>
          <w:sz w:val="32"/>
          <w:szCs w:val="32"/>
        </w:rPr>
        <w:t>（项）</w:t>
      </w:r>
      <w:r>
        <w:rPr>
          <w:rFonts w:hint="eastAsia" w:ascii="仿宋_GB2312" w:hAnsi="仿宋_GB2312" w:eastAsia="仿宋_GB2312" w:cs="仿宋_GB2312"/>
          <w:color w:val="000000"/>
          <w:sz w:val="32"/>
          <w:szCs w:val="32"/>
        </w:rPr>
        <w:t>: 支出决算为</w:t>
      </w:r>
      <w:r>
        <w:rPr>
          <w:rFonts w:hint="eastAsia" w:ascii="仿宋_GB2312" w:hAnsi="仿宋_GB2312" w:eastAsia="仿宋_GB2312" w:cs="仿宋_GB2312"/>
          <w:color w:val="000000"/>
          <w:sz w:val="32"/>
          <w:szCs w:val="32"/>
          <w:lang w:val="en-US" w:eastAsia="zh-CN"/>
        </w:rPr>
        <w:t>5.25</w:t>
      </w:r>
      <w:r>
        <w:rPr>
          <w:rFonts w:hint="eastAsia" w:ascii="仿宋_GB2312" w:hAnsi="仿宋_GB2312" w:eastAsia="仿宋_GB2312" w:cs="仿宋_GB2312"/>
          <w:color w:val="000000"/>
          <w:sz w:val="32"/>
          <w:szCs w:val="32"/>
        </w:rPr>
        <w:t>万元，完成预算</w:t>
      </w:r>
      <w:r>
        <w:rPr>
          <w:rFonts w:hint="eastAsia" w:ascii="仿宋_GB2312" w:hAnsi="仿宋_GB2312" w:eastAsia="仿宋_GB2312" w:cs="仿宋_GB2312"/>
          <w:color w:val="000000"/>
          <w:sz w:val="32"/>
          <w:szCs w:val="32"/>
          <w:lang w:val="en-US" w:eastAsia="zh-CN"/>
        </w:rPr>
        <w:t>100</w:t>
      </w:r>
      <w:r>
        <w:rPr>
          <w:rFonts w:hint="eastAsia" w:ascii="仿宋_GB2312" w:hAnsi="仿宋_GB2312" w:eastAsia="仿宋_GB2312" w:cs="仿宋_GB2312"/>
          <w:color w:val="000000"/>
          <w:sz w:val="32"/>
          <w:szCs w:val="32"/>
        </w:rPr>
        <w:t>%。</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 w:eastAsia="仿宋_GB2312"/>
          <w:color w:val="000000"/>
          <w:sz w:val="32"/>
          <w:szCs w:val="32"/>
        </w:rPr>
        <w:t>科学技术支出（类）科学技术普及（款）学术交流活动（项）</w:t>
      </w:r>
      <w:r>
        <w:rPr>
          <w:rFonts w:hint="eastAsia" w:ascii="仿宋_GB2312" w:hAnsi="仿宋_GB2312" w:eastAsia="仿宋_GB2312" w:cs="仿宋_GB2312"/>
          <w:color w:val="000000"/>
          <w:sz w:val="32"/>
          <w:szCs w:val="32"/>
        </w:rPr>
        <w:t>: 支出决算为</w:t>
      </w:r>
      <w:r>
        <w:rPr>
          <w:rFonts w:hint="eastAsia" w:ascii="仿宋_GB2312" w:hAnsi="仿宋_GB2312" w:eastAsia="仿宋_GB2312" w:cs="仿宋_GB2312"/>
          <w:color w:val="000000"/>
          <w:sz w:val="32"/>
          <w:szCs w:val="32"/>
          <w:lang w:val="en-US" w:eastAsia="zh-CN"/>
        </w:rPr>
        <w:t>10.50</w:t>
      </w:r>
      <w:r>
        <w:rPr>
          <w:rFonts w:hint="eastAsia" w:ascii="仿宋_GB2312" w:hAnsi="仿宋_GB2312" w:eastAsia="仿宋_GB2312" w:cs="仿宋_GB2312"/>
          <w:color w:val="000000"/>
          <w:sz w:val="32"/>
          <w:szCs w:val="32"/>
        </w:rPr>
        <w:t>万元，完成预算</w:t>
      </w:r>
      <w:r>
        <w:rPr>
          <w:rFonts w:hint="eastAsia" w:ascii="仿宋_GB2312" w:hAnsi="仿宋_GB2312" w:eastAsia="仿宋_GB2312" w:cs="仿宋_GB2312"/>
          <w:color w:val="000000"/>
          <w:sz w:val="32"/>
          <w:szCs w:val="32"/>
          <w:lang w:val="en-US" w:eastAsia="zh-CN"/>
        </w:rPr>
        <w:t>100</w:t>
      </w:r>
      <w:r>
        <w:rPr>
          <w:rFonts w:hint="eastAsia" w:ascii="仿宋_GB2312" w:hAnsi="仿宋_GB2312" w:eastAsia="仿宋_GB2312" w:cs="仿宋_GB2312"/>
          <w:color w:val="000000"/>
          <w:sz w:val="32"/>
          <w:szCs w:val="32"/>
        </w:rPr>
        <w:t>%。</w:t>
      </w:r>
    </w:p>
    <w:p>
      <w:pPr>
        <w:spacing w:line="6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6.科学技术支出（类）科学技术普及（款）其他科学技术普及支出（项）:支出决算为</w:t>
      </w:r>
      <w:r>
        <w:rPr>
          <w:rFonts w:hint="eastAsia" w:ascii="仿宋_GB2312" w:hAnsi="仿宋" w:eastAsia="仿宋_GB2312"/>
          <w:color w:val="000000"/>
          <w:sz w:val="32"/>
          <w:szCs w:val="32"/>
          <w:lang w:val="en-US" w:eastAsia="zh-CN"/>
        </w:rPr>
        <w:t>21.38</w:t>
      </w:r>
      <w:r>
        <w:rPr>
          <w:rFonts w:hint="eastAsia" w:ascii="仿宋_GB2312" w:hAnsi="仿宋" w:eastAsia="仿宋_GB2312"/>
          <w:color w:val="000000"/>
          <w:sz w:val="32"/>
          <w:szCs w:val="32"/>
        </w:rPr>
        <w:t>万元，完成预算</w:t>
      </w:r>
      <w:r>
        <w:rPr>
          <w:rFonts w:hint="eastAsia" w:ascii="仿宋_GB2312" w:hAnsi="仿宋" w:eastAsia="仿宋_GB2312"/>
          <w:color w:val="000000"/>
          <w:sz w:val="32"/>
          <w:szCs w:val="32"/>
          <w:lang w:val="en-US" w:eastAsia="zh-CN"/>
        </w:rPr>
        <w:t>100</w:t>
      </w:r>
      <w:r>
        <w:rPr>
          <w:rFonts w:hint="eastAsia" w:ascii="仿宋_GB2312" w:hAnsi="仿宋" w:eastAsia="仿宋_GB2312"/>
          <w:color w:val="000000"/>
          <w:sz w:val="32"/>
          <w:szCs w:val="32"/>
        </w:rPr>
        <w:t>%。</w:t>
      </w:r>
    </w:p>
    <w:p>
      <w:pPr>
        <w:pStyle w:val="2"/>
        <w:ind w:firstLine="640" w:firstLineChars="200"/>
        <w:rPr>
          <w:rStyle w:val="16"/>
          <w:rFonts w:hint="eastAsia" w:ascii="仿宋" w:hAnsi="仿宋" w:eastAsia="仿宋"/>
          <w:b w:val="0"/>
          <w:bCs/>
          <w:color w:val="auto"/>
          <w:sz w:val="32"/>
          <w:szCs w:val="32"/>
          <w:highlight w:val="none"/>
        </w:rPr>
      </w:pPr>
      <w:r>
        <w:rPr>
          <w:rFonts w:hint="eastAsia" w:ascii="仿宋_GB2312" w:hAnsi="仿宋" w:eastAsia="仿宋_GB2312"/>
          <w:color w:val="000000"/>
          <w:sz w:val="32"/>
          <w:szCs w:val="32"/>
          <w:lang w:val="en-US" w:eastAsia="zh-CN"/>
        </w:rPr>
        <w:t>7</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（款）行政单位离退休（项）:支出决算为</w:t>
      </w:r>
      <w:r>
        <w:rPr>
          <w:rFonts w:ascii="仿宋_GB2312" w:hAnsi="仿宋" w:eastAsia="仿宋_GB2312"/>
          <w:color w:val="000000"/>
          <w:sz w:val="32"/>
          <w:szCs w:val="32"/>
        </w:rPr>
        <w:t>0.</w:t>
      </w:r>
      <w:r>
        <w:rPr>
          <w:rFonts w:hint="eastAsia" w:hAnsi="仿宋"/>
          <w:color w:val="000000"/>
          <w:sz w:val="32"/>
          <w:szCs w:val="32"/>
          <w:lang w:val="en-US" w:eastAsia="zh-CN"/>
        </w:rPr>
        <w:t>55</w:t>
      </w:r>
      <w:r>
        <w:rPr>
          <w:rFonts w:hint="eastAsia" w:ascii="仿宋_GB2312" w:hAnsi="仿宋" w:eastAsia="仿宋_GB2312"/>
          <w:color w:val="000000"/>
          <w:sz w:val="32"/>
          <w:szCs w:val="32"/>
        </w:rPr>
        <w:t>万元，完成预算100%</w:t>
      </w:r>
      <w:r>
        <w:rPr>
          <w:rStyle w:val="16"/>
          <w:rFonts w:hint="eastAsia" w:ascii="仿宋" w:hAnsi="仿宋" w:eastAsia="仿宋"/>
          <w:b w:val="0"/>
          <w:bCs/>
          <w:color w:val="000000"/>
          <w:sz w:val="32"/>
          <w:szCs w:val="32"/>
        </w:rPr>
        <w:t>。</w:t>
      </w:r>
    </w:p>
    <w:p>
      <w:pPr>
        <w:spacing w:line="600" w:lineRule="exact"/>
        <w:ind w:firstLine="640" w:firstLineChars="200"/>
        <w:rPr>
          <w:rFonts w:hint="eastAsia" w:ascii="仿宋_GB2312" w:hAnsi="仿宋" w:eastAsia="仿宋_GB2312" w:cs="Times New Roman"/>
          <w:color w:val="000000"/>
          <w:sz w:val="32"/>
          <w:szCs w:val="32"/>
        </w:rPr>
      </w:pPr>
      <w:r>
        <w:rPr>
          <w:rFonts w:hint="eastAsia" w:ascii="仿宋_GB2312" w:hAnsi="仿宋" w:eastAsia="仿宋_GB2312"/>
          <w:color w:val="000000"/>
          <w:sz w:val="32"/>
          <w:szCs w:val="32"/>
          <w:lang w:val="en-US" w:eastAsia="zh-CN"/>
        </w:rPr>
        <w:t>8</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（款）机关事业单位基本养老保险缴费支出（项）:支出决算为</w:t>
      </w:r>
      <w:r>
        <w:rPr>
          <w:rFonts w:hint="eastAsia" w:ascii="仿宋_GB2312" w:hAnsi="仿宋" w:eastAsia="仿宋_GB2312"/>
          <w:color w:val="000000"/>
          <w:sz w:val="32"/>
          <w:szCs w:val="32"/>
          <w:lang w:val="en-US" w:eastAsia="zh-CN"/>
        </w:rPr>
        <w:t>11.06</w:t>
      </w:r>
      <w:r>
        <w:rPr>
          <w:rFonts w:hint="eastAsia" w:ascii="仿宋_GB2312" w:hAnsi="仿宋" w:eastAsia="仿宋_GB2312"/>
          <w:color w:val="000000"/>
          <w:sz w:val="32"/>
          <w:szCs w:val="32"/>
        </w:rPr>
        <w:t>万元</w:t>
      </w:r>
      <w:r>
        <w:rPr>
          <w:rFonts w:hint="eastAsia" w:ascii="仿宋_GB2312" w:hAnsi="仿宋" w:eastAsia="仿宋_GB2312" w:cs="Times New Roman"/>
          <w:color w:val="000000"/>
          <w:sz w:val="32"/>
          <w:szCs w:val="32"/>
        </w:rPr>
        <w:t>，完成预算</w:t>
      </w:r>
      <w:r>
        <w:rPr>
          <w:rFonts w:hint="eastAsia" w:ascii="仿宋_GB2312" w:hAnsi="仿宋" w:eastAsia="仿宋_GB2312" w:cs="Times New Roman"/>
          <w:color w:val="000000"/>
          <w:sz w:val="32"/>
          <w:szCs w:val="32"/>
          <w:lang w:val="en-US" w:eastAsia="zh-CN"/>
        </w:rPr>
        <w:t>100</w:t>
      </w:r>
      <w:r>
        <w:rPr>
          <w:rFonts w:hint="eastAsia" w:ascii="仿宋_GB2312" w:hAnsi="仿宋" w:eastAsia="仿宋_GB2312" w:cs="Times New Roman"/>
          <w:color w:val="000000"/>
          <w:sz w:val="32"/>
          <w:szCs w:val="32"/>
        </w:rPr>
        <w:t>%。</w:t>
      </w:r>
    </w:p>
    <w:p>
      <w:pPr>
        <w:pStyle w:val="2"/>
        <w:rPr>
          <w:rStyle w:val="16"/>
          <w:rFonts w:hint="default" w:ascii="仿宋" w:hAnsi="仿宋" w:eastAsia="仿宋"/>
          <w:b w:val="0"/>
          <w:bCs/>
          <w:color w:val="auto"/>
          <w:sz w:val="32"/>
          <w:szCs w:val="32"/>
          <w:highlight w:val="none"/>
          <w:lang w:val="en-US" w:eastAsia="zh-CN"/>
        </w:rPr>
      </w:pPr>
      <w:r>
        <w:rPr>
          <w:rStyle w:val="16"/>
          <w:rFonts w:hint="eastAsia" w:ascii="仿宋" w:hAnsi="仿宋" w:eastAsia="仿宋"/>
          <w:b w:val="0"/>
          <w:bCs/>
          <w:color w:val="auto"/>
          <w:sz w:val="32"/>
          <w:szCs w:val="32"/>
          <w:highlight w:val="none"/>
          <w:lang w:val="en-US" w:eastAsia="zh-CN"/>
        </w:rPr>
        <w:t xml:space="preserve">    </w:t>
      </w:r>
      <w:r>
        <w:rPr>
          <w:rFonts w:hint="eastAsia" w:ascii="仿宋_GB2312" w:hAnsi="仿宋" w:eastAsia="仿宋_GB2312"/>
          <w:color w:val="000000"/>
          <w:sz w:val="32"/>
          <w:szCs w:val="32"/>
          <w:lang w:val="en-US" w:eastAsia="zh-CN"/>
        </w:rPr>
        <w:t>9</w:t>
      </w:r>
      <w:r>
        <w:rPr>
          <w:rFonts w:hint="eastAsia" w:ascii="仿宋_GB2312" w:hAnsi="仿宋" w:eastAsia="仿宋_GB2312"/>
          <w:color w:val="000000"/>
          <w:sz w:val="32"/>
          <w:szCs w:val="32"/>
        </w:rPr>
        <w:t>.卫生</w:t>
      </w:r>
      <w:r>
        <w:rPr>
          <w:rFonts w:ascii="仿宋_GB2312" w:hAnsi="仿宋" w:eastAsia="仿宋_GB2312"/>
          <w:color w:val="000000"/>
          <w:sz w:val="32"/>
          <w:szCs w:val="32"/>
        </w:rPr>
        <w:t>健康</w:t>
      </w:r>
      <w:r>
        <w:rPr>
          <w:rFonts w:hint="eastAsia" w:ascii="仿宋_GB2312" w:hAnsi="仿宋" w:eastAsia="仿宋_GB2312"/>
          <w:color w:val="000000"/>
          <w:sz w:val="32"/>
          <w:szCs w:val="32"/>
        </w:rPr>
        <w:t>支出（类）行政事业单位医疗（款）行政单位医疗（项</w:t>
      </w:r>
      <w:r>
        <w:rPr>
          <w:rFonts w:hint="eastAsia" w:ascii="仿宋_GB2312" w:hAnsi="仿宋" w:eastAsia="仿宋_GB2312" w:cs="Times New Roman"/>
          <w:color w:val="000000"/>
          <w:sz w:val="32"/>
          <w:szCs w:val="32"/>
        </w:rPr>
        <w:t>）：支出决算为</w:t>
      </w:r>
      <w:r>
        <w:rPr>
          <w:rFonts w:hint="eastAsia" w:ascii="仿宋_GB2312" w:hAnsi="仿宋" w:eastAsia="仿宋_GB2312" w:cs="Times New Roman"/>
          <w:color w:val="000000"/>
          <w:sz w:val="32"/>
          <w:szCs w:val="32"/>
          <w:lang w:val="en-US" w:eastAsia="zh-CN"/>
        </w:rPr>
        <w:t>9.0</w:t>
      </w:r>
      <w:r>
        <w:rPr>
          <w:rFonts w:hint="eastAsia" w:hAnsi="仿宋" w:cs="Times New Roman"/>
          <w:color w:val="000000"/>
          <w:sz w:val="32"/>
          <w:szCs w:val="32"/>
          <w:lang w:val="en-US" w:eastAsia="zh-CN"/>
        </w:rPr>
        <w:t>2</w:t>
      </w:r>
      <w:r>
        <w:rPr>
          <w:rFonts w:hint="eastAsia" w:ascii="仿宋_GB2312" w:hAnsi="仿宋" w:eastAsia="仿宋_GB2312" w:cs="Times New Roman"/>
          <w:color w:val="000000"/>
          <w:sz w:val="32"/>
          <w:szCs w:val="32"/>
        </w:rPr>
        <w:t>万元，完成预算</w:t>
      </w:r>
      <w:r>
        <w:rPr>
          <w:rFonts w:hint="eastAsia" w:ascii="仿宋_GB2312" w:hAnsi="仿宋" w:eastAsia="仿宋_GB2312" w:cs="Times New Roman"/>
          <w:color w:val="000000"/>
          <w:sz w:val="32"/>
          <w:szCs w:val="32"/>
          <w:lang w:val="en-US" w:eastAsia="zh-CN"/>
        </w:rPr>
        <w:t>100</w:t>
      </w:r>
      <w:r>
        <w:rPr>
          <w:rFonts w:hint="eastAsia" w:ascii="仿宋_GB2312" w:hAnsi="仿宋" w:eastAsia="仿宋_GB2312" w:cs="Times New Roman"/>
          <w:color w:val="000000"/>
          <w:sz w:val="32"/>
          <w:szCs w:val="32"/>
        </w:rPr>
        <w:t>%。</w:t>
      </w:r>
    </w:p>
    <w:p>
      <w:pPr>
        <w:spacing w:line="600" w:lineRule="exact"/>
        <w:ind w:firstLine="640" w:firstLineChars="200"/>
      </w:pPr>
      <w:r>
        <w:rPr>
          <w:rFonts w:hint="eastAsia" w:ascii="仿宋_GB2312" w:hAnsi="仿宋" w:eastAsia="仿宋_GB2312"/>
          <w:color w:val="000000"/>
          <w:sz w:val="32"/>
          <w:szCs w:val="32"/>
        </w:rPr>
        <w:t>1</w:t>
      </w:r>
      <w:r>
        <w:rPr>
          <w:rFonts w:hint="eastAsia" w:ascii="仿宋_GB2312" w:hAnsi="仿宋" w:eastAsia="仿宋_GB2312"/>
          <w:color w:val="000000"/>
          <w:sz w:val="32"/>
          <w:szCs w:val="32"/>
          <w:lang w:val="en-US" w:eastAsia="zh-CN"/>
        </w:rPr>
        <w:t>0</w:t>
      </w:r>
      <w:r>
        <w:rPr>
          <w:rFonts w:hint="eastAsia" w:ascii="仿宋_GB2312" w:hAnsi="仿宋" w:eastAsia="仿宋_GB2312"/>
          <w:color w:val="000000"/>
          <w:sz w:val="32"/>
          <w:szCs w:val="32"/>
        </w:rPr>
        <w:t>.卫生</w:t>
      </w:r>
      <w:r>
        <w:rPr>
          <w:rFonts w:ascii="仿宋_GB2312" w:hAnsi="仿宋" w:eastAsia="仿宋_GB2312"/>
          <w:color w:val="000000"/>
          <w:sz w:val="32"/>
          <w:szCs w:val="32"/>
        </w:rPr>
        <w:t>健康</w:t>
      </w:r>
      <w:r>
        <w:rPr>
          <w:rFonts w:hint="eastAsia" w:ascii="仿宋_GB2312" w:hAnsi="仿宋" w:eastAsia="仿宋_GB2312"/>
          <w:color w:val="000000"/>
          <w:sz w:val="32"/>
          <w:szCs w:val="32"/>
        </w:rPr>
        <w:t>支出（类）行政事业单位医疗（款）公务员医疗补助（项）：支出决算为</w:t>
      </w:r>
      <w:r>
        <w:rPr>
          <w:rFonts w:hint="eastAsia" w:ascii="仿宋_GB2312" w:hAnsi="仿宋" w:eastAsia="仿宋_GB2312"/>
          <w:color w:val="000000"/>
          <w:sz w:val="32"/>
          <w:szCs w:val="32"/>
          <w:lang w:val="en-US" w:eastAsia="zh-CN"/>
        </w:rPr>
        <w:t>1.44</w:t>
      </w:r>
      <w:r>
        <w:rPr>
          <w:rFonts w:hint="eastAsia" w:ascii="仿宋_GB2312" w:hAnsi="仿宋" w:eastAsia="仿宋_GB2312"/>
          <w:color w:val="000000"/>
          <w:sz w:val="32"/>
          <w:szCs w:val="32"/>
        </w:rPr>
        <w:t>万元，完成预算</w:t>
      </w:r>
      <w:r>
        <w:rPr>
          <w:rFonts w:hint="eastAsia" w:ascii="仿宋_GB2312" w:hAnsi="仿宋" w:eastAsia="仿宋_GB2312"/>
          <w:color w:val="000000"/>
          <w:sz w:val="32"/>
          <w:szCs w:val="32"/>
          <w:lang w:val="en-US" w:eastAsia="zh-CN"/>
        </w:rPr>
        <w:t>100</w:t>
      </w:r>
      <w:r>
        <w:rPr>
          <w:rFonts w:hint="eastAsia" w:ascii="仿宋_GB2312" w:hAnsi="仿宋" w:eastAsia="仿宋_GB2312"/>
          <w:color w:val="000000"/>
          <w:sz w:val="32"/>
          <w:szCs w:val="32"/>
        </w:rPr>
        <w:t>%。</w:t>
      </w:r>
    </w:p>
    <w:p>
      <w:pPr>
        <w:pStyle w:val="13"/>
        <w:ind w:left="0" w:leftChars="0" w:firstLine="640" w:firstLineChars="200"/>
        <w:rPr>
          <w:rFonts w:hint="eastAsia" w:ascii="仿宋" w:hAnsi="仿宋" w:eastAsia="仿宋"/>
          <w:b/>
          <w:color w:val="000000"/>
          <w:sz w:val="32"/>
          <w:szCs w:val="32"/>
          <w:lang w:eastAsia="zh-CN"/>
        </w:rPr>
      </w:pPr>
      <w:r>
        <w:rPr>
          <w:rFonts w:hint="eastAsia" w:ascii="仿宋_GB2312" w:hAnsi="仿宋" w:eastAsia="仿宋_GB2312"/>
          <w:color w:val="000000"/>
          <w:sz w:val="32"/>
          <w:szCs w:val="32"/>
        </w:rPr>
        <w:t>1</w:t>
      </w:r>
      <w:r>
        <w:rPr>
          <w:rFonts w:hint="eastAsia" w:ascii="仿宋_GB2312" w:hAnsi="仿宋" w:eastAsia="仿宋_GB2312"/>
          <w:color w:val="000000"/>
          <w:sz w:val="32"/>
          <w:szCs w:val="32"/>
          <w:lang w:val="en-US" w:eastAsia="zh-CN"/>
        </w:rPr>
        <w:t>1</w:t>
      </w:r>
      <w:r>
        <w:rPr>
          <w:rFonts w:hint="eastAsia" w:ascii="仿宋_GB2312" w:hAnsi="仿宋" w:eastAsia="仿宋_GB2312"/>
          <w:color w:val="000000"/>
          <w:sz w:val="32"/>
          <w:szCs w:val="32"/>
        </w:rPr>
        <w:t>.住房保障支出（类）住房改革支出（款）住房公积金（项）：支出决算为</w:t>
      </w:r>
      <w:r>
        <w:rPr>
          <w:rFonts w:hint="eastAsia" w:ascii="仿宋_GB2312" w:hAnsi="仿宋" w:eastAsia="仿宋_GB2312"/>
          <w:color w:val="000000"/>
          <w:sz w:val="32"/>
          <w:szCs w:val="32"/>
          <w:lang w:val="en-US" w:eastAsia="zh-CN"/>
        </w:rPr>
        <w:t>13.05</w:t>
      </w:r>
      <w:r>
        <w:rPr>
          <w:rFonts w:hint="eastAsia" w:ascii="仿宋_GB2312" w:hAnsi="仿宋" w:eastAsia="仿宋_GB2312"/>
          <w:color w:val="000000"/>
          <w:sz w:val="32"/>
          <w:szCs w:val="32"/>
        </w:rPr>
        <w:t>万元</w:t>
      </w:r>
      <w:r>
        <w:rPr>
          <w:rFonts w:hint="eastAsia" w:ascii="仿宋_GB2312" w:hAnsi="仿宋" w:eastAsia="仿宋_GB2312" w:cs="Times New Roman"/>
          <w:color w:val="000000"/>
          <w:sz w:val="32"/>
          <w:szCs w:val="32"/>
        </w:rPr>
        <w:t>，完成预算</w:t>
      </w:r>
      <w:r>
        <w:rPr>
          <w:rFonts w:hint="eastAsia" w:ascii="仿宋_GB2312" w:hAnsi="仿宋" w:eastAsia="仿宋_GB2312" w:cs="Times New Roman"/>
          <w:color w:val="000000"/>
          <w:sz w:val="32"/>
          <w:szCs w:val="32"/>
          <w:lang w:val="en-US" w:eastAsia="zh-CN"/>
        </w:rPr>
        <w:t>100</w:t>
      </w:r>
      <w:r>
        <w:rPr>
          <w:rFonts w:hint="eastAsia" w:ascii="仿宋_GB2312" w:hAnsi="仿宋" w:eastAsia="仿宋_GB2312" w:cs="Times New Roman"/>
          <w:color w:val="000000"/>
          <w:sz w:val="32"/>
          <w:szCs w:val="32"/>
        </w:rPr>
        <w:t>%。</w:t>
      </w:r>
    </w:p>
    <w:p>
      <w:pPr>
        <w:tabs>
          <w:tab w:val="right" w:pos="8306"/>
        </w:tabs>
        <w:spacing w:line="600" w:lineRule="exact"/>
        <w:ind w:firstLine="640"/>
        <w:outlineLvl w:val="1"/>
        <w:rPr>
          <w:rStyle w:val="28"/>
          <w:color w:val="auto"/>
          <w:highlight w:val="none"/>
        </w:rPr>
      </w:pPr>
      <w:bookmarkStart w:id="52" w:name="_Toc15377214"/>
      <w:bookmarkStart w:id="53" w:name="_Toc9042"/>
      <w:bookmarkStart w:id="54" w:name="_Toc15396608"/>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28"/>
          <w:rFonts w:hint="eastAsia" w:ascii="黑体" w:hAnsi="黑体" w:eastAsia="黑体"/>
          <w:b w:val="0"/>
          <w:color w:val="auto"/>
          <w:highlight w:val="none"/>
        </w:rPr>
        <w:t>般公共预算财政拨款基本支出决算情况说明</w:t>
      </w:r>
      <w:bookmarkEnd w:id="52"/>
      <w:bookmarkEnd w:id="53"/>
      <w:bookmarkEnd w:id="54"/>
      <w:r>
        <w:rPr>
          <w:rStyle w:val="28"/>
          <w:rFonts w:ascii="黑体" w:hAnsi="黑体" w:eastAsia="黑体"/>
          <w:b w:val="0"/>
          <w:color w:val="auto"/>
          <w:highlight w:val="none"/>
        </w:rPr>
        <w:tab/>
      </w:r>
    </w:p>
    <w:p>
      <w:pPr>
        <w:spacing w:line="600" w:lineRule="exact"/>
        <w:ind w:firstLine="645"/>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年一般公共预算财政拨款基本支出</w:t>
      </w:r>
      <w:r>
        <w:rPr>
          <w:rFonts w:ascii="仿宋_GB2312" w:hAnsi="Times New Roman" w:eastAsia="仿宋_GB2312" w:cs="仿宋_GB2312"/>
          <w:color w:val="000000"/>
          <w:sz w:val="32"/>
          <w:szCs w:val="32"/>
          <w:lang w:val="zh-CN"/>
        </w:rPr>
        <w:t>214.15</w:t>
      </w:r>
      <w:r>
        <w:rPr>
          <w:rFonts w:hint="eastAsia" w:ascii="仿宋" w:hAnsi="仿宋" w:eastAsia="仿宋"/>
          <w:color w:val="auto"/>
          <w:sz w:val="32"/>
          <w:szCs w:val="32"/>
          <w:highlight w:val="none"/>
        </w:rPr>
        <w:t>万元，其中：</w:t>
      </w:r>
    </w:p>
    <w:p>
      <w:pPr>
        <w:spacing w:line="600" w:lineRule="exact"/>
        <w:ind w:firstLine="645"/>
        <w:rPr>
          <w:rFonts w:ascii="仿宋" w:hAnsi="仿宋" w:eastAsia="仿宋"/>
          <w:color w:val="auto"/>
          <w:sz w:val="32"/>
          <w:szCs w:val="32"/>
          <w:highlight w:val="none"/>
        </w:rPr>
      </w:pPr>
      <w:r>
        <w:rPr>
          <w:rFonts w:hint="eastAsia" w:ascii="仿宋" w:hAnsi="仿宋" w:eastAsia="仿宋"/>
          <w:color w:val="auto"/>
          <w:sz w:val="32"/>
          <w:szCs w:val="32"/>
          <w:highlight w:val="none"/>
        </w:rPr>
        <w:t>人员经费</w:t>
      </w:r>
      <w:r>
        <w:rPr>
          <w:rFonts w:ascii="仿宋_GB2312" w:hAnsi="Cambria" w:eastAsia="仿宋_GB2312" w:cs="仿宋_GB2312"/>
          <w:color w:val="000000"/>
          <w:sz w:val="32"/>
          <w:szCs w:val="32"/>
          <w:lang w:val="zh-CN"/>
        </w:rPr>
        <w:t>178.12</w:t>
      </w:r>
      <w:r>
        <w:rPr>
          <w:rFonts w:hint="eastAsia" w:ascii="仿宋" w:hAnsi="仿宋" w:eastAsia="仿宋"/>
          <w:color w:val="auto"/>
          <w:sz w:val="32"/>
          <w:szCs w:val="32"/>
          <w:highlight w:val="none"/>
        </w:rPr>
        <w:t>万元，主要包括：基本工资、津贴补贴、奖金、绩效工资、机关事业单位基本养老保险缴费、</w:t>
      </w:r>
      <w:r>
        <w:rPr>
          <w:rFonts w:hint="eastAsia" w:ascii="仿宋" w:hAnsi="仿宋" w:eastAsia="仿宋"/>
          <w:color w:val="auto"/>
          <w:sz w:val="32"/>
          <w:szCs w:val="32"/>
          <w:highlight w:val="none"/>
          <w:lang w:val="en-US" w:eastAsia="zh-CN"/>
        </w:rPr>
        <w:t>职工基本医疗保险缴费、公务员医疗补助缴费、</w:t>
      </w:r>
      <w:r>
        <w:rPr>
          <w:rFonts w:hint="eastAsia" w:ascii="仿宋" w:hAnsi="仿宋" w:eastAsia="仿宋"/>
          <w:color w:val="auto"/>
          <w:sz w:val="32"/>
          <w:szCs w:val="32"/>
          <w:highlight w:val="none"/>
        </w:rPr>
        <w:t>其他社会保障缴费、住房公积金、其他工资福利支出、其他对个人和家庭的补助支出等。</w:t>
      </w:r>
      <w:r>
        <w:rPr>
          <w:rFonts w:ascii="仿宋" w:hAnsi="仿宋" w:eastAsia="仿宋"/>
          <w:color w:val="auto"/>
          <w:sz w:val="32"/>
          <w:szCs w:val="32"/>
          <w:highlight w:val="none"/>
        </w:rPr>
        <w:br w:type="textWrapping"/>
      </w:r>
      <w:r>
        <w:rPr>
          <w:rFonts w:hint="eastAsia" w:ascii="仿宋" w:hAnsi="仿宋" w:eastAsia="仿宋"/>
          <w:color w:val="auto"/>
          <w:sz w:val="32"/>
          <w:szCs w:val="32"/>
          <w:highlight w:val="none"/>
        </w:rPr>
        <w:t>　　公用经费</w:t>
      </w:r>
      <w:r>
        <w:rPr>
          <w:rFonts w:ascii="仿宋_GB2312" w:hAnsi="Cambria" w:eastAsia="仿宋_GB2312" w:cs="仿宋_GB2312"/>
          <w:color w:val="000000"/>
          <w:sz w:val="32"/>
          <w:szCs w:val="32"/>
          <w:lang w:val="zh-CN"/>
        </w:rPr>
        <w:t>36.03</w:t>
      </w:r>
      <w:r>
        <w:rPr>
          <w:rFonts w:hint="eastAsia" w:ascii="仿宋" w:hAnsi="仿宋" w:eastAsia="仿宋"/>
          <w:color w:val="auto"/>
          <w:sz w:val="32"/>
          <w:szCs w:val="32"/>
          <w:highlight w:val="none"/>
        </w:rPr>
        <w:t>万元，主要包括：办公费、印刷费、手续费、水费、电费、邮电费、物业管理费、差旅费、维修（护）费、会议费、培训费、公务接待费、劳务费、委托业务费、工会经费、福利费、公务用车运行维护费、其他交通费</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其他商品和服务支出等。</w:t>
      </w:r>
    </w:p>
    <w:p>
      <w:pPr>
        <w:spacing w:line="600" w:lineRule="exact"/>
        <w:ind w:firstLine="640"/>
        <w:outlineLvl w:val="1"/>
        <w:rPr>
          <w:rStyle w:val="28"/>
          <w:rFonts w:ascii="黑体" w:hAnsi="黑体" w:eastAsia="黑体"/>
          <w:b w:val="0"/>
          <w:color w:val="auto"/>
          <w:highlight w:val="none"/>
        </w:rPr>
      </w:pPr>
      <w:bookmarkStart w:id="55" w:name="_Toc2486"/>
      <w:bookmarkStart w:id="56" w:name="_Toc15377215"/>
      <w:bookmarkStart w:id="57" w:name="_Toc15396609"/>
      <w:r>
        <w:rPr>
          <w:rFonts w:hint="eastAsia" w:ascii="黑体" w:eastAsia="黑体"/>
          <w:color w:val="auto"/>
          <w:sz w:val="32"/>
          <w:szCs w:val="32"/>
          <w:highlight w:val="none"/>
        </w:rPr>
        <w:t>七、</w:t>
      </w:r>
      <w:r>
        <w:rPr>
          <w:rStyle w:val="28"/>
          <w:rFonts w:hint="eastAsia" w:ascii="黑体" w:hAnsi="黑体" w:eastAsia="黑体"/>
          <w:b w:val="0"/>
          <w:color w:val="auto"/>
          <w:highlight w:val="none"/>
        </w:rPr>
        <w:t>财政拨款</w:t>
      </w:r>
      <w:r>
        <w:rPr>
          <w:rStyle w:val="28"/>
          <w:rFonts w:hint="eastAsia" w:ascii="黑体" w:hAnsi="黑体" w:eastAsia="黑体"/>
          <w:color w:val="auto"/>
          <w:highlight w:val="none"/>
        </w:rPr>
        <w:t>“</w:t>
      </w:r>
      <w:r>
        <w:rPr>
          <w:rStyle w:val="28"/>
          <w:rFonts w:hint="eastAsia" w:ascii="黑体" w:hAnsi="黑体" w:eastAsia="黑体"/>
          <w:b w:val="0"/>
          <w:color w:val="auto"/>
          <w:highlight w:val="none"/>
        </w:rPr>
        <w:t>三公”经费支出决算情况说明</w:t>
      </w:r>
      <w:bookmarkEnd w:id="55"/>
      <w:bookmarkEnd w:id="56"/>
      <w:bookmarkEnd w:id="57"/>
    </w:p>
    <w:p>
      <w:pPr>
        <w:spacing w:line="600" w:lineRule="exact"/>
        <w:ind w:firstLine="640"/>
        <w:outlineLvl w:val="2"/>
        <w:rPr>
          <w:rFonts w:ascii="仿宋" w:hAnsi="仿宋" w:eastAsia="仿宋"/>
          <w:b/>
          <w:color w:val="auto"/>
          <w:sz w:val="32"/>
          <w:szCs w:val="32"/>
          <w:highlight w:val="none"/>
        </w:rPr>
      </w:pPr>
      <w:bookmarkStart w:id="58" w:name="_Toc15377216"/>
      <w:bookmarkStart w:id="59" w:name="_Toc25489"/>
      <w:r>
        <w:rPr>
          <w:rFonts w:hint="eastAsia" w:ascii="仿宋" w:hAnsi="仿宋" w:eastAsia="仿宋"/>
          <w:b/>
          <w:color w:val="auto"/>
          <w:sz w:val="32"/>
          <w:szCs w:val="32"/>
          <w:highlight w:val="none"/>
        </w:rPr>
        <w:t>（一）“三公”经费财政拨款支出决算总体情况说明</w:t>
      </w:r>
      <w:bookmarkEnd w:id="58"/>
      <w:bookmarkEnd w:id="59"/>
    </w:p>
    <w:p>
      <w:pPr>
        <w:spacing w:line="600" w:lineRule="exact"/>
        <w:ind w:firstLine="640"/>
        <w:rPr>
          <w:rFonts w:hint="eastAsia" w:ascii="仿宋" w:hAnsi="仿宋" w:eastAsia="仿宋"/>
          <w:color w:val="auto"/>
          <w:sz w:val="32"/>
          <w:szCs w:val="32"/>
          <w:highlight w:val="none"/>
        </w:rPr>
      </w:pPr>
      <w:bookmarkStart w:id="60" w:name="_Toc26202"/>
      <w:bookmarkStart w:id="61" w:name="_Toc15377217"/>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年“三公”经费财政拨款支出决算为</w:t>
      </w:r>
      <w:r>
        <w:rPr>
          <w:rFonts w:hint="eastAsia" w:ascii="仿宋" w:hAnsi="仿宋" w:eastAsia="仿宋"/>
          <w:color w:val="auto"/>
          <w:sz w:val="32"/>
          <w:szCs w:val="32"/>
          <w:highlight w:val="none"/>
          <w:lang w:val="en-US" w:eastAsia="zh-CN"/>
        </w:rPr>
        <w:t>0.91</w:t>
      </w:r>
      <w:r>
        <w:rPr>
          <w:rFonts w:hint="eastAsia" w:ascii="仿宋" w:hAnsi="仿宋" w:eastAsia="仿宋"/>
          <w:color w:val="auto"/>
          <w:sz w:val="32"/>
          <w:szCs w:val="32"/>
          <w:highlight w:val="none"/>
        </w:rPr>
        <w:t>万元，完成预算</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决算数与预算数持平。</w:t>
      </w:r>
    </w:p>
    <w:p>
      <w:pPr>
        <w:spacing w:line="600" w:lineRule="exact"/>
        <w:ind w:firstLine="640" w:firstLineChars="200"/>
      </w:pPr>
      <w:r>
        <w:rPr>
          <w:rFonts w:hint="eastAsia" w:ascii="仿宋" w:hAnsi="仿宋" w:eastAsia="仿宋"/>
          <w:color w:val="auto"/>
          <w:sz w:val="32"/>
          <w:szCs w:val="32"/>
          <w:highlight w:val="none"/>
        </w:rPr>
        <w:t>与20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决算数</w:t>
      </w:r>
      <w:r>
        <w:rPr>
          <w:rFonts w:hint="eastAsia" w:ascii="仿宋" w:hAnsi="仿宋" w:eastAsia="仿宋"/>
          <w:color w:val="auto"/>
          <w:sz w:val="32"/>
          <w:szCs w:val="32"/>
          <w:highlight w:val="none"/>
        </w:rPr>
        <w:t>相比，增加</w:t>
      </w:r>
      <w:r>
        <w:rPr>
          <w:rFonts w:hint="eastAsia" w:ascii="仿宋" w:hAnsi="仿宋" w:eastAsia="仿宋"/>
          <w:color w:val="auto"/>
          <w:sz w:val="32"/>
          <w:szCs w:val="32"/>
          <w:highlight w:val="none"/>
          <w:lang w:val="en-US" w:eastAsia="zh-CN"/>
        </w:rPr>
        <w:t>0.08</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9.6</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接待费有增加</w:t>
      </w:r>
      <w:r>
        <w:rPr>
          <w:rFonts w:hint="eastAsia" w:ascii="仿宋" w:hAnsi="仿宋" w:eastAsia="仿宋"/>
          <w:color w:val="auto"/>
          <w:sz w:val="32"/>
          <w:szCs w:val="32"/>
          <w:highlight w:val="none"/>
          <w:lang w:eastAsia="zh-CN"/>
        </w:rPr>
        <w:t>。</w:t>
      </w:r>
    </w:p>
    <w:p>
      <w:pPr>
        <w:spacing w:line="600" w:lineRule="exact"/>
        <w:ind w:firstLine="64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（二）“三公”经费财政拨款支出决算具体情况说明</w:t>
      </w:r>
      <w:bookmarkEnd w:id="60"/>
      <w:bookmarkEnd w:id="61"/>
    </w:p>
    <w:p>
      <w:pPr>
        <w:spacing w:line="600" w:lineRule="exact"/>
        <w:ind w:firstLine="640"/>
        <w:rPr>
          <w:rFonts w:hint="eastAsia"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年“三公”经费财政拨款支出决算中，因公出国（境）费支出决算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val="en-US" w:eastAsia="zh-CN"/>
        </w:rPr>
        <w:t>0.62</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68.1</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0.29</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31.9</w:t>
      </w:r>
      <w:r>
        <w:rPr>
          <w:rFonts w:ascii="仿宋" w:hAnsi="仿宋" w:eastAsia="仿宋"/>
          <w:color w:val="auto"/>
          <w:sz w:val="32"/>
          <w:szCs w:val="32"/>
          <w:highlight w:val="none"/>
        </w:rPr>
        <w:t>%</w:t>
      </w:r>
      <w:r>
        <w:rPr>
          <w:rFonts w:hint="eastAsia" w:ascii="仿宋" w:hAnsi="仿宋" w:eastAsia="仿宋"/>
          <w:color w:val="auto"/>
          <w:sz w:val="32"/>
          <w:szCs w:val="32"/>
          <w:highlight w:val="none"/>
        </w:rPr>
        <w:t>。具体情况如下：</w:t>
      </w:r>
    </w:p>
    <w:p>
      <w:pPr>
        <w:pStyle w:val="2"/>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drawing>
          <wp:inline distT="0" distB="0" distL="114300" distR="114300">
            <wp:extent cx="3985260" cy="1972945"/>
            <wp:effectExtent l="4445" t="4445" r="10795" b="22860"/>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pPr>
        <w:spacing w:line="600" w:lineRule="exact"/>
        <w:ind w:firstLine="640"/>
        <w:rPr>
          <w:rFonts w:ascii="仿宋" w:hAnsi="仿宋" w:eastAsia="仿宋"/>
          <w:color w:val="auto"/>
          <w:sz w:val="32"/>
          <w:szCs w:val="32"/>
          <w:highlight w:val="none"/>
        </w:rPr>
      </w:pPr>
      <w:r>
        <w:rPr>
          <w:rFonts w:hint="eastAsia" w:ascii="仿宋" w:hAnsi="仿宋" w:eastAsia="仿宋"/>
          <w:color w:val="auto"/>
          <w:sz w:val="32"/>
          <w:szCs w:val="32"/>
          <w:highlight w:val="none"/>
        </w:rPr>
        <w:t>（图7：“三公”经费财政拨款支出结构）（饼状图）</w:t>
      </w:r>
    </w:p>
    <w:p>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1.</w:t>
      </w:r>
      <w:r>
        <w:rPr>
          <w:rFonts w:hint="eastAsia" w:ascii="仿宋_GB2312" w:eastAsia="仿宋_GB2312"/>
          <w:b/>
          <w:color w:val="auto"/>
          <w:sz w:val="32"/>
          <w:szCs w:val="32"/>
          <w:highlight w:val="none"/>
        </w:rPr>
        <w:t>因公出国（境）经费支出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全年安排因公出国（境）团组</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次，出国（境）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因公出国（境）支出决算数与</w:t>
      </w:r>
      <w:r>
        <w:rPr>
          <w:rFonts w:hint="eastAsia" w:ascii="仿宋_GB2312" w:eastAsia="仿宋_GB2312"/>
          <w:color w:val="auto"/>
          <w:sz w:val="32"/>
          <w:szCs w:val="32"/>
          <w:highlight w:val="none"/>
          <w:lang w:val="en-US" w:eastAsia="zh-CN"/>
        </w:rPr>
        <w:t>2021年持平。</w:t>
      </w:r>
    </w:p>
    <w:p>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仿宋_GB2312" w:eastAsia="仿宋_GB2312"/>
          <w:color w:val="auto"/>
          <w:sz w:val="32"/>
          <w:szCs w:val="32"/>
          <w:highlight w:val="none"/>
          <w:lang w:val="en-US" w:eastAsia="zh-CN"/>
        </w:rPr>
        <w:t>0.62</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公务用车购置及运行维护费支出决算比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年减少</w:t>
      </w:r>
      <w:r>
        <w:rPr>
          <w:rFonts w:hint="eastAsia" w:ascii="仿宋_GB2312" w:eastAsia="仿宋_GB2312"/>
          <w:color w:val="auto"/>
          <w:sz w:val="32"/>
          <w:szCs w:val="32"/>
          <w:highlight w:val="none"/>
          <w:lang w:val="en-US" w:eastAsia="zh-CN"/>
        </w:rPr>
        <w:t>0.09</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12.7</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车辆</w:t>
      </w:r>
      <w:r>
        <w:rPr>
          <w:rFonts w:hint="eastAsia" w:ascii="仿宋_GB2312" w:eastAsia="仿宋_GB2312"/>
          <w:color w:val="auto"/>
          <w:sz w:val="32"/>
          <w:szCs w:val="32"/>
          <w:highlight w:val="none"/>
        </w:rPr>
        <w:t>运行维护费</w:t>
      </w:r>
      <w:r>
        <w:rPr>
          <w:rFonts w:hint="eastAsia" w:ascii="仿宋_GB2312" w:eastAsia="仿宋_GB2312"/>
          <w:color w:val="auto"/>
          <w:sz w:val="32"/>
          <w:szCs w:val="32"/>
          <w:highlight w:val="none"/>
          <w:lang w:val="en-US" w:eastAsia="zh-CN"/>
        </w:rPr>
        <w:t>减少</w:t>
      </w:r>
      <w:r>
        <w:rPr>
          <w:rFonts w:hint="eastAsia" w:ascii="仿宋_GB2312" w:eastAsia="仿宋_GB2312"/>
          <w:color w:val="auto"/>
          <w:sz w:val="32"/>
          <w:szCs w:val="32"/>
          <w:highlight w:val="none"/>
        </w:rPr>
        <w:t>。</w:t>
      </w:r>
    </w:p>
    <w:p>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万元。全年按规定更新购置公务用车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月底，单位共有公务用车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ascii="仿宋_GB2312" w:eastAsia="仿宋_GB2312"/>
          <w:color w:val="000000"/>
          <w:sz w:val="32"/>
          <w:szCs w:val="32"/>
        </w:rPr>
        <w:t>特种车</w:t>
      </w:r>
      <w:r>
        <w:rPr>
          <w:rFonts w:hint="eastAsia" w:ascii="仿宋_GB2312" w:eastAsia="仿宋_GB2312"/>
          <w:color w:val="000000"/>
          <w:sz w:val="32"/>
          <w:szCs w:val="32"/>
        </w:rPr>
        <w:t>1辆</w:t>
      </w:r>
      <w:r>
        <w:rPr>
          <w:rFonts w:hint="eastAsia" w:ascii="仿宋_GB2312" w:hAnsi="仿宋" w:eastAsia="仿宋_GB2312"/>
          <w:color w:val="000000"/>
          <w:sz w:val="32"/>
          <w:szCs w:val="32"/>
        </w:rPr>
        <w:t>（科普大篷车）</w:t>
      </w:r>
      <w:r>
        <w:rPr>
          <w:rFonts w:hint="eastAsia" w:ascii="仿宋_GB2312" w:eastAsia="仿宋_GB2312"/>
          <w:color w:val="auto"/>
          <w:sz w:val="32"/>
          <w:szCs w:val="32"/>
          <w:highlight w:val="none"/>
        </w:rPr>
        <w:t>。</w:t>
      </w:r>
    </w:p>
    <w:p>
      <w:pPr>
        <w:spacing w:line="600" w:lineRule="exact"/>
        <w:ind w:firstLine="640"/>
        <w:rPr>
          <w:rFonts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eastAsia="仿宋_GB2312"/>
          <w:color w:val="auto"/>
          <w:sz w:val="32"/>
          <w:szCs w:val="32"/>
          <w:highlight w:val="none"/>
          <w:lang w:val="en-US" w:eastAsia="zh-CN"/>
        </w:rPr>
        <w:t>0.62</w:t>
      </w:r>
      <w:r>
        <w:rPr>
          <w:rFonts w:hint="eastAsia" w:ascii="仿宋_GB2312" w:eastAsia="仿宋_GB2312"/>
          <w:color w:val="auto"/>
          <w:sz w:val="32"/>
          <w:szCs w:val="32"/>
          <w:highlight w:val="none"/>
        </w:rPr>
        <w:t>万元。主要用于</w:t>
      </w:r>
      <w:r>
        <w:rPr>
          <w:rFonts w:hint="eastAsia" w:ascii="仿宋_GB2312" w:eastAsia="仿宋_GB2312"/>
          <w:sz w:val="32"/>
          <w:szCs w:val="32"/>
        </w:rPr>
        <w:t>运行维护</w:t>
      </w:r>
      <w:r>
        <w:rPr>
          <w:rFonts w:hint="eastAsia" w:ascii="仿宋_GB2312" w:hAnsi="仿宋" w:eastAsia="仿宋_GB2312"/>
          <w:color w:val="000000"/>
          <w:sz w:val="32"/>
          <w:szCs w:val="32"/>
        </w:rPr>
        <w:t>科普大篷车</w:t>
      </w:r>
      <w:r>
        <w:rPr>
          <w:rFonts w:hint="eastAsia" w:ascii="仿宋_GB2312" w:hAnsi="仿宋" w:eastAsia="仿宋_GB2312"/>
          <w:color w:val="000000"/>
          <w:sz w:val="32"/>
          <w:szCs w:val="32"/>
          <w:lang w:val="en-US" w:eastAsia="zh-CN"/>
        </w:rPr>
        <w:t>的</w:t>
      </w:r>
      <w:r>
        <w:rPr>
          <w:rFonts w:hint="eastAsia" w:ascii="仿宋_GB2312" w:eastAsia="仿宋_GB2312"/>
          <w:sz w:val="32"/>
          <w:szCs w:val="32"/>
          <w:lang w:eastAsia="zh-CN"/>
        </w:rPr>
        <w:t>保险费用和维修费用。</w:t>
      </w:r>
    </w:p>
    <w:p>
      <w:pPr>
        <w:spacing w:line="600" w:lineRule="exact"/>
        <w:ind w:firstLine="640"/>
        <w:rPr>
          <w:rFonts w:ascii="仿宋_GB2312" w:eastAsia="仿宋_GB2312"/>
          <w:color w:val="auto"/>
          <w:sz w:val="32"/>
          <w:szCs w:val="32"/>
          <w:highlight w:val="none"/>
        </w:rPr>
      </w:pPr>
      <w:r>
        <w:rPr>
          <w:rFonts w:ascii="仿宋_GB2312" w:eastAsia="仿宋_GB2312"/>
          <w:b/>
          <w:color w:val="auto"/>
          <w:sz w:val="32"/>
          <w:szCs w:val="32"/>
          <w:highlight w:val="none"/>
        </w:rPr>
        <w:t>3.</w:t>
      </w:r>
      <w:r>
        <w:rPr>
          <w:rFonts w:hint="eastAsia" w:ascii="仿宋_GB2312" w:eastAsia="仿宋_GB2312"/>
          <w:b/>
          <w:color w:val="auto"/>
          <w:sz w:val="32"/>
          <w:szCs w:val="32"/>
          <w:highlight w:val="none"/>
        </w:rPr>
        <w:t>公务接待费支出</w:t>
      </w:r>
      <w:r>
        <w:rPr>
          <w:rFonts w:hint="eastAsia" w:ascii="仿宋_GB2312" w:eastAsia="仿宋_GB2312"/>
          <w:color w:val="auto"/>
          <w:sz w:val="32"/>
          <w:szCs w:val="32"/>
          <w:highlight w:val="none"/>
          <w:lang w:val="en-US" w:eastAsia="zh-CN"/>
        </w:rPr>
        <w:t>0.29</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公务接待费支出决算比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年增加</w:t>
      </w:r>
      <w:r>
        <w:rPr>
          <w:rFonts w:hint="eastAsia" w:ascii="仿宋_GB2312" w:eastAsia="仿宋_GB2312"/>
          <w:color w:val="auto"/>
          <w:sz w:val="32"/>
          <w:szCs w:val="32"/>
          <w:highlight w:val="none"/>
          <w:lang w:val="en-US" w:eastAsia="zh-CN"/>
        </w:rPr>
        <w:t>0.17</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141.7</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Style w:val="17"/>
          <w:rFonts w:hint="eastAsia" w:ascii="仿宋_GB2312" w:hAnsi="仿宋_GB2312" w:eastAsia="仿宋_GB2312" w:cs="仿宋_GB2312"/>
          <w:bCs/>
          <w:sz w:val="32"/>
          <w:szCs w:val="32"/>
          <w:lang w:eastAsia="zh-CN"/>
        </w:rPr>
        <w:t>接待省科协产生接待费用增加</w:t>
      </w:r>
      <w:r>
        <w:rPr>
          <w:rFonts w:hint="eastAsia" w:ascii="仿宋_GB2312" w:eastAsia="仿宋_GB2312"/>
          <w:color w:val="auto"/>
          <w:sz w:val="32"/>
          <w:szCs w:val="32"/>
          <w:highlight w:val="none"/>
        </w:rPr>
        <w:t>。其中：</w:t>
      </w:r>
    </w:p>
    <w:p>
      <w:pPr>
        <w:spacing w:line="600" w:lineRule="exact"/>
        <w:ind w:firstLine="640"/>
        <w:rPr>
          <w:rFonts w:ascii="仿宋_GB2312" w:eastAsia="仿宋_GB2312"/>
          <w:color w:val="auto"/>
          <w:sz w:val="32"/>
          <w:szCs w:val="32"/>
          <w:highlight w:val="none"/>
        </w:rPr>
      </w:pPr>
      <w:r>
        <w:rPr>
          <w:rFonts w:hint="eastAsia" w:ascii="仿宋" w:hAnsi="仿宋" w:eastAsia="仿宋"/>
          <w:b/>
          <w:color w:val="auto"/>
          <w:sz w:val="32"/>
          <w:szCs w:val="32"/>
          <w:highlight w:val="none"/>
        </w:rPr>
        <w:t>国内公务接待支出</w:t>
      </w:r>
      <w:r>
        <w:rPr>
          <w:rFonts w:hint="eastAsia" w:ascii="仿宋" w:hAnsi="仿宋" w:eastAsia="仿宋"/>
          <w:color w:val="auto"/>
          <w:sz w:val="32"/>
          <w:szCs w:val="32"/>
          <w:highlight w:val="none"/>
          <w:lang w:val="en-US" w:eastAsia="zh-CN"/>
        </w:rPr>
        <w:t>0.29</w:t>
      </w:r>
      <w:r>
        <w:rPr>
          <w:rFonts w:hint="eastAsia" w:ascii="仿宋_GB2312" w:eastAsia="仿宋_GB2312"/>
          <w:color w:val="auto"/>
          <w:sz w:val="32"/>
          <w:szCs w:val="32"/>
          <w:highlight w:val="none"/>
        </w:rPr>
        <w:t>万元，主要用于</w:t>
      </w:r>
      <w:r>
        <w:rPr>
          <w:rStyle w:val="17"/>
          <w:rFonts w:hint="eastAsia" w:ascii="仿宋_GB2312" w:hAnsi="仿宋_GB2312" w:eastAsia="仿宋_GB2312" w:cs="仿宋_GB2312"/>
          <w:bCs/>
          <w:sz w:val="32"/>
          <w:szCs w:val="32"/>
        </w:rPr>
        <w:t>接待</w:t>
      </w:r>
      <w:r>
        <w:rPr>
          <w:rStyle w:val="17"/>
          <w:rFonts w:hint="eastAsia" w:ascii="仿宋_GB2312" w:hAnsi="仿宋_GB2312" w:eastAsia="仿宋_GB2312" w:cs="仿宋_GB2312"/>
          <w:bCs/>
          <w:sz w:val="32"/>
          <w:szCs w:val="32"/>
          <w:lang w:eastAsia="zh-CN"/>
        </w:rPr>
        <w:t>省科协到内江开展工作调研发生</w:t>
      </w:r>
      <w:r>
        <w:rPr>
          <w:rStyle w:val="17"/>
          <w:rFonts w:hint="eastAsia" w:ascii="仿宋_GB2312" w:hAnsi="仿宋_GB2312" w:eastAsia="仿宋_GB2312" w:cs="仿宋_GB2312"/>
          <w:bCs/>
          <w:sz w:val="32"/>
          <w:szCs w:val="32"/>
          <w:lang w:val="en-US" w:eastAsia="zh-CN"/>
        </w:rPr>
        <w:t>的用餐费等。</w:t>
      </w:r>
      <w:r>
        <w:rPr>
          <w:rFonts w:hint="eastAsia" w:ascii="仿宋_GB2312" w:eastAsia="仿宋_GB2312"/>
          <w:color w:val="auto"/>
          <w:sz w:val="32"/>
          <w:szCs w:val="32"/>
          <w:highlight w:val="none"/>
        </w:rPr>
        <w:t>国内公务接待</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12</w:t>
      </w:r>
      <w:r>
        <w:rPr>
          <w:rFonts w:hint="eastAsia" w:ascii="仿宋_GB2312" w:eastAsia="仿宋_GB2312"/>
          <w:color w:val="auto"/>
          <w:sz w:val="32"/>
          <w:szCs w:val="32"/>
          <w:highlight w:val="none"/>
        </w:rPr>
        <w:t>人次，共计支出</w:t>
      </w:r>
      <w:r>
        <w:rPr>
          <w:rFonts w:hint="eastAsia" w:ascii="仿宋_GB2312" w:eastAsia="仿宋_GB2312"/>
          <w:color w:val="auto"/>
          <w:sz w:val="32"/>
          <w:szCs w:val="32"/>
          <w:highlight w:val="none"/>
          <w:lang w:val="en-US" w:eastAsia="zh-CN"/>
        </w:rPr>
        <w:t>0.29</w:t>
      </w:r>
      <w:r>
        <w:rPr>
          <w:rFonts w:hint="eastAsia" w:ascii="仿宋_GB2312" w:eastAsia="仿宋_GB2312"/>
          <w:color w:val="auto"/>
          <w:sz w:val="32"/>
          <w:szCs w:val="32"/>
          <w:highlight w:val="none"/>
        </w:rPr>
        <w:t>万元，具体内容包括：</w:t>
      </w:r>
      <w:r>
        <w:rPr>
          <w:rFonts w:hint="eastAsia" w:ascii="仿宋_GB2312" w:eastAsia="仿宋_GB2312"/>
          <w:color w:val="auto"/>
          <w:sz w:val="32"/>
          <w:szCs w:val="32"/>
          <w:highlight w:val="none"/>
          <w:lang w:val="en-US" w:eastAsia="zh-CN"/>
        </w:rPr>
        <w:t>省科协开展</w:t>
      </w:r>
      <w:r>
        <w:rPr>
          <w:rFonts w:hint="eastAsia" w:ascii="仿宋_GB2312" w:eastAsia="仿宋_GB2312"/>
          <w:color w:val="auto"/>
          <w:sz w:val="32"/>
          <w:szCs w:val="32"/>
          <w:highlight w:val="none"/>
        </w:rPr>
        <w:t>天府科技云全员保姆式服务专题调研</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支出0.19万元；省科协</w:t>
      </w:r>
      <w:r>
        <w:rPr>
          <w:rFonts w:hint="eastAsia" w:ascii="仿宋_GB2312" w:eastAsia="仿宋_GB2312"/>
          <w:color w:val="auto"/>
          <w:sz w:val="32"/>
          <w:szCs w:val="32"/>
          <w:highlight w:val="none"/>
          <w:lang w:eastAsia="zh-CN"/>
        </w:rPr>
        <w:t>调研天府科技云服务、市级学会</w:t>
      </w:r>
      <w:r>
        <w:rPr>
          <w:rFonts w:hint="eastAsia" w:ascii="仿宋_GB2312" w:eastAsia="仿宋_GB2312"/>
          <w:color w:val="auto"/>
          <w:sz w:val="32"/>
          <w:szCs w:val="32"/>
          <w:highlight w:val="none"/>
          <w:lang w:val="en-US" w:eastAsia="zh-CN"/>
        </w:rPr>
        <w:t>和</w:t>
      </w:r>
      <w:r>
        <w:rPr>
          <w:rFonts w:hint="eastAsia" w:ascii="仿宋_GB2312" w:eastAsia="仿宋_GB2312"/>
          <w:color w:val="auto"/>
          <w:sz w:val="32"/>
          <w:szCs w:val="32"/>
          <w:highlight w:val="none"/>
          <w:lang w:eastAsia="zh-CN"/>
        </w:rPr>
        <w:t>东兴区中医药产业，</w:t>
      </w:r>
      <w:r>
        <w:rPr>
          <w:rFonts w:hint="eastAsia" w:ascii="仿宋_GB2312" w:eastAsia="仿宋_GB2312"/>
          <w:color w:val="auto"/>
          <w:sz w:val="32"/>
          <w:szCs w:val="32"/>
          <w:highlight w:val="none"/>
          <w:lang w:val="en-US" w:eastAsia="zh-CN"/>
        </w:rPr>
        <w:t>支出0.1万元。</w:t>
      </w:r>
    </w:p>
    <w:p>
      <w:pPr>
        <w:spacing w:line="600" w:lineRule="exact"/>
        <w:ind w:firstLine="643" w:firstLineChars="200"/>
        <w:rPr>
          <w:rFonts w:ascii="黑体" w:eastAsia="黑体"/>
          <w:color w:val="auto"/>
          <w:sz w:val="32"/>
          <w:szCs w:val="32"/>
          <w:highlight w:val="none"/>
        </w:rPr>
      </w:pPr>
      <w:r>
        <w:rPr>
          <w:rFonts w:hint="eastAsia" w:ascii="仿宋" w:hAnsi="仿宋" w:eastAsia="仿宋"/>
          <w:b/>
          <w:color w:val="auto"/>
          <w:sz w:val="32"/>
          <w:szCs w:val="32"/>
          <w:highlight w:val="none"/>
        </w:rPr>
        <w:t>外事接待支出</w:t>
      </w:r>
      <w:r>
        <w:rPr>
          <w:rFonts w:hint="eastAsia" w:ascii="仿宋" w:hAnsi="仿宋" w:eastAsia="仿宋"/>
          <w:color w:val="auto"/>
          <w:sz w:val="32"/>
          <w:szCs w:val="32"/>
          <w:highlight w:val="none"/>
          <w:lang w:val="en-US" w:eastAsia="zh-CN"/>
        </w:rPr>
        <w:t>0</w:t>
      </w:r>
      <w:r>
        <w:rPr>
          <w:rFonts w:hint="eastAsia" w:ascii="仿宋_GB2312" w:eastAsia="仿宋_GB2312"/>
          <w:color w:val="auto"/>
          <w:sz w:val="32"/>
          <w:szCs w:val="32"/>
          <w:highlight w:val="none"/>
        </w:rPr>
        <w:t>万元，外事接待</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次</w:t>
      </w:r>
      <w:r>
        <w:rPr>
          <w:rFonts w:hint="eastAsia" w:ascii="仿宋_GB2312" w:eastAsia="仿宋_GB2312"/>
          <w:color w:val="auto"/>
          <w:sz w:val="32"/>
          <w:szCs w:val="32"/>
          <w:highlight w:val="none"/>
        </w:rPr>
        <w:t>，共计支出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bookmarkStart w:id="62" w:name="_Toc15377218"/>
      <w:bookmarkStart w:id="63" w:name="_Toc15396610"/>
    </w:p>
    <w:p>
      <w:pPr>
        <w:spacing w:line="600" w:lineRule="exact"/>
        <w:ind w:firstLine="640"/>
        <w:outlineLvl w:val="1"/>
        <w:rPr>
          <w:rStyle w:val="28"/>
          <w:rFonts w:ascii="黑体" w:hAnsi="黑体" w:eastAsia="黑体"/>
          <w:color w:val="auto"/>
          <w:highlight w:val="none"/>
        </w:rPr>
      </w:pPr>
      <w:bookmarkStart w:id="64" w:name="_Toc18078"/>
      <w:r>
        <w:rPr>
          <w:rFonts w:hint="eastAsia" w:ascii="黑体" w:eastAsia="黑体"/>
          <w:color w:val="auto"/>
          <w:sz w:val="32"/>
          <w:szCs w:val="32"/>
          <w:highlight w:val="none"/>
        </w:rPr>
        <w:t>八、</w:t>
      </w:r>
      <w:r>
        <w:rPr>
          <w:rStyle w:val="28"/>
          <w:rFonts w:hint="eastAsia" w:ascii="黑体" w:hAnsi="黑体" w:eastAsia="黑体"/>
          <w:b w:val="0"/>
          <w:color w:val="auto"/>
          <w:highlight w:val="none"/>
        </w:rPr>
        <w:t>政府性基金预算支出决算情况说明</w:t>
      </w:r>
      <w:bookmarkEnd w:id="62"/>
      <w:bookmarkEnd w:id="63"/>
      <w:bookmarkEnd w:id="64"/>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年政府性基金预算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3"/>
        </w:numPr>
        <w:spacing w:line="600" w:lineRule="exact"/>
        <w:ind w:firstLine="640"/>
        <w:outlineLvl w:val="1"/>
        <w:rPr>
          <w:rStyle w:val="28"/>
          <w:rFonts w:ascii="黑体" w:hAnsi="黑体" w:eastAsia="黑体"/>
          <w:b w:val="0"/>
          <w:color w:val="auto"/>
          <w:highlight w:val="none"/>
        </w:rPr>
      </w:pPr>
      <w:bookmarkStart w:id="65" w:name="_Toc15396611"/>
      <w:bookmarkStart w:id="66" w:name="_Toc24290"/>
      <w:bookmarkStart w:id="67" w:name="_Toc15377219"/>
      <w:r>
        <w:rPr>
          <w:rStyle w:val="28"/>
          <w:rFonts w:hint="eastAsia" w:ascii="黑体" w:hAnsi="黑体" w:eastAsia="黑体"/>
          <w:b w:val="0"/>
          <w:color w:val="auto"/>
          <w:highlight w:val="none"/>
        </w:rPr>
        <w:t>国有资本经营预算支出决算情况说明</w:t>
      </w:r>
      <w:bookmarkEnd w:id="65"/>
      <w:bookmarkEnd w:id="66"/>
      <w:bookmarkEnd w:id="67"/>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年国有资本经营预算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3"/>
        </w:numPr>
        <w:spacing w:line="600" w:lineRule="exact"/>
        <w:ind w:firstLine="640"/>
        <w:outlineLvl w:val="1"/>
        <w:rPr>
          <w:rStyle w:val="28"/>
          <w:rFonts w:hint="eastAsia" w:ascii="黑体" w:hAnsi="黑体" w:eastAsia="黑体"/>
          <w:b w:val="0"/>
          <w:color w:val="auto"/>
          <w:highlight w:val="none"/>
        </w:rPr>
      </w:pPr>
      <w:bookmarkStart w:id="68" w:name="_Toc15396612"/>
      <w:bookmarkStart w:id="69" w:name="_Toc15377221"/>
      <w:bookmarkStart w:id="70" w:name="_Toc21015"/>
      <w:r>
        <w:rPr>
          <w:rStyle w:val="28"/>
          <w:rFonts w:hint="eastAsia" w:ascii="黑体" w:hAnsi="黑体" w:eastAsia="黑体"/>
          <w:b w:val="0"/>
          <w:color w:val="auto"/>
          <w:highlight w:val="none"/>
        </w:rPr>
        <w:t>其他重要事项的情况说明</w:t>
      </w:r>
      <w:bookmarkEnd w:id="68"/>
      <w:bookmarkEnd w:id="69"/>
      <w:bookmarkEnd w:id="70"/>
    </w:p>
    <w:p>
      <w:pPr>
        <w:spacing w:line="600" w:lineRule="exact"/>
        <w:ind w:firstLine="643" w:firstLineChars="200"/>
        <w:outlineLvl w:val="2"/>
        <w:rPr>
          <w:rFonts w:ascii="仿宋" w:hAnsi="仿宋" w:eastAsia="仿宋"/>
          <w:color w:val="auto"/>
          <w:sz w:val="32"/>
          <w:szCs w:val="32"/>
          <w:highlight w:val="none"/>
        </w:rPr>
      </w:pPr>
      <w:bookmarkStart w:id="71" w:name="_Toc15377222"/>
      <w:bookmarkStart w:id="72" w:name="_Toc20202"/>
      <w:r>
        <w:rPr>
          <w:rFonts w:hint="eastAsia" w:ascii="仿宋" w:hAnsi="仿宋" w:eastAsia="仿宋"/>
          <w:b/>
          <w:color w:val="auto"/>
          <w:sz w:val="32"/>
          <w:szCs w:val="32"/>
          <w:highlight w:val="none"/>
        </w:rPr>
        <w:t>（一）机关运行经费支出情况</w:t>
      </w:r>
      <w:bookmarkEnd w:id="71"/>
      <w:bookmarkEnd w:id="72"/>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hAnsi="仿宋_GB2312" w:eastAsia="仿宋_GB2312" w:cs="仿宋_GB2312"/>
          <w:sz w:val="32"/>
          <w:szCs w:val="32"/>
        </w:rPr>
        <w:t>内江市科学技术协会</w:t>
      </w:r>
      <w:r>
        <w:rPr>
          <w:rFonts w:hint="eastAsia" w:ascii="仿宋_GB2312" w:eastAsia="仿宋_GB2312"/>
          <w:color w:val="auto"/>
          <w:sz w:val="32"/>
          <w:szCs w:val="32"/>
          <w:highlight w:val="none"/>
        </w:rPr>
        <w:t>机关运行经费支出</w:t>
      </w:r>
      <w:r>
        <w:rPr>
          <w:rFonts w:ascii="仿宋_GB2312" w:hAnsi="Cambria" w:eastAsia="仿宋_GB2312" w:cs="仿宋_GB2312"/>
          <w:color w:val="000000"/>
          <w:sz w:val="32"/>
          <w:szCs w:val="32"/>
          <w:lang w:val="zh-CN"/>
        </w:rPr>
        <w:t>36.03</w:t>
      </w:r>
      <w:r>
        <w:rPr>
          <w:rFonts w:hint="eastAsia" w:ascii="仿宋_GB2312" w:eastAsia="仿宋_GB2312"/>
          <w:color w:val="auto"/>
          <w:sz w:val="32"/>
          <w:szCs w:val="32"/>
          <w:highlight w:val="none"/>
        </w:rPr>
        <w:t>万元，比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年减少</w:t>
      </w:r>
      <w:r>
        <w:rPr>
          <w:rFonts w:hint="eastAsia" w:ascii="仿宋_GB2312" w:eastAsia="仿宋_GB2312"/>
          <w:color w:val="auto"/>
          <w:sz w:val="32"/>
          <w:szCs w:val="32"/>
          <w:highlight w:val="none"/>
          <w:lang w:val="en-US" w:eastAsia="zh-CN"/>
        </w:rPr>
        <w:t>13.08</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26.6</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_GB2312" w:hAnsi="仿宋_GB2312" w:eastAsia="仿宋_GB2312" w:cs="仿宋_GB2312"/>
          <w:sz w:val="32"/>
          <w:szCs w:val="32"/>
        </w:rPr>
        <w:t>压减一般性支出</w:t>
      </w:r>
      <w:r>
        <w:rPr>
          <w:rFonts w:hint="eastAsia" w:ascii="仿宋_GB2312" w:hAnsi="仿宋_GB2312" w:eastAsia="仿宋_GB2312" w:cs="仿宋_GB2312"/>
          <w:sz w:val="32"/>
          <w:szCs w:val="32"/>
          <w:lang w:eastAsia="zh-CN"/>
        </w:rPr>
        <w:t>，减少经费开支。</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73" w:name="_Toc15377223"/>
      <w:bookmarkStart w:id="74" w:name="_Toc30157"/>
      <w:r>
        <w:rPr>
          <w:rFonts w:hint="eastAsia" w:ascii="仿宋" w:hAnsi="仿宋" w:eastAsia="仿宋"/>
          <w:b/>
          <w:color w:val="auto"/>
          <w:sz w:val="32"/>
          <w:szCs w:val="32"/>
          <w:highlight w:val="none"/>
        </w:rPr>
        <w:t>（二）政府采购支出情况</w:t>
      </w:r>
      <w:bookmarkEnd w:id="73"/>
      <w:bookmarkEnd w:id="74"/>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hAnsi="仿宋_GB2312" w:eastAsia="仿宋_GB2312" w:cs="仿宋_GB2312"/>
          <w:sz w:val="32"/>
          <w:szCs w:val="32"/>
        </w:rPr>
        <w:t>内江市科学技术协会</w:t>
      </w:r>
      <w:r>
        <w:rPr>
          <w:rFonts w:hint="eastAsia" w:ascii="仿宋_GB2312" w:eastAsia="仿宋_GB2312"/>
          <w:color w:val="auto"/>
          <w:sz w:val="32"/>
          <w:szCs w:val="32"/>
          <w:highlight w:val="none"/>
        </w:rPr>
        <w:t>政府采购支出总额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万元，其中：政府采购货物支出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万元、政府采购工程支出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万元、政府采购服务支出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万元。授予中小企业合同金额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75" w:name="_Toc15377224"/>
      <w:bookmarkStart w:id="76" w:name="_Toc1784"/>
      <w:r>
        <w:rPr>
          <w:rFonts w:hint="eastAsia" w:ascii="仿宋" w:hAnsi="仿宋" w:eastAsia="仿宋"/>
          <w:b/>
          <w:color w:val="auto"/>
          <w:sz w:val="32"/>
          <w:szCs w:val="32"/>
          <w:highlight w:val="none"/>
        </w:rPr>
        <w:t>（三）国有资产占有使用情况</w:t>
      </w:r>
      <w:bookmarkEnd w:id="75"/>
      <w:bookmarkEnd w:id="76"/>
    </w:p>
    <w:p>
      <w:pPr>
        <w:autoSpaceDE w:val="0"/>
        <w:autoSpaceDN w:val="0"/>
        <w:adjustRightInd w:val="0"/>
        <w:spacing w:line="60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31</w:t>
      </w:r>
      <w:r>
        <w:rPr>
          <w:rFonts w:hint="eastAsia" w:ascii="仿宋_GB2312" w:eastAsia="仿宋_GB2312"/>
          <w:color w:val="auto"/>
          <w:sz w:val="32"/>
          <w:szCs w:val="32"/>
          <w:highlight w:val="none"/>
        </w:rPr>
        <w:t>日，</w:t>
      </w:r>
      <w:r>
        <w:rPr>
          <w:rFonts w:hint="eastAsia" w:ascii="仿宋_GB2312" w:hAnsi="仿宋_GB2312" w:eastAsia="仿宋_GB2312" w:cs="仿宋_GB2312"/>
          <w:sz w:val="32"/>
          <w:szCs w:val="32"/>
        </w:rPr>
        <w:t>内江市科学技术协会</w:t>
      </w:r>
      <w:r>
        <w:rPr>
          <w:rFonts w:hint="eastAsia" w:ascii="仿宋_GB2312" w:eastAsia="仿宋_GB2312"/>
          <w:color w:val="auto"/>
          <w:sz w:val="32"/>
          <w:szCs w:val="32"/>
          <w:highlight w:val="none"/>
        </w:rPr>
        <w:t>共有车辆</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辆，其中：主要领导干部用车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辆、应急保障用车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辆、其他用车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其他用车主要是用于</w:t>
      </w:r>
      <w:r>
        <w:rPr>
          <w:rFonts w:hint="eastAsia" w:ascii="仿宋_GB2312" w:hAnsi="仿宋_GB2312" w:eastAsia="仿宋_GB2312" w:cs="仿宋_GB2312"/>
          <w:sz w:val="32"/>
          <w:szCs w:val="32"/>
        </w:rPr>
        <w:t>科普大篷车开展科普宣传等</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w:t>
      </w:r>
    </w:p>
    <w:p>
      <w:pPr>
        <w:autoSpaceDE w:val="0"/>
        <w:autoSpaceDN w:val="0"/>
        <w:adjustRightInd w:val="0"/>
        <w:spacing w:line="600" w:lineRule="exact"/>
        <w:ind w:firstLine="643" w:firstLineChars="200"/>
        <w:jc w:val="left"/>
        <w:outlineLvl w:val="2"/>
        <w:rPr>
          <w:rFonts w:hint="eastAsia" w:ascii="仿宋" w:hAnsi="仿宋" w:eastAsia="仿宋"/>
          <w:b/>
          <w:color w:val="auto"/>
          <w:sz w:val="32"/>
          <w:szCs w:val="32"/>
          <w:highlight w:val="none"/>
          <w:lang w:eastAsia="zh-CN"/>
        </w:rPr>
      </w:pPr>
      <w:bookmarkStart w:id="77" w:name="_Toc26668"/>
      <w:r>
        <w:rPr>
          <w:rFonts w:hint="eastAsia" w:ascii="仿宋" w:hAnsi="仿宋" w:eastAsia="仿宋"/>
          <w:b/>
          <w:color w:val="auto"/>
          <w:sz w:val="32"/>
          <w:szCs w:val="32"/>
          <w:highlight w:val="none"/>
        </w:rPr>
        <w:t>（四）预算绩效管理情况</w:t>
      </w:r>
      <w:bookmarkEnd w:id="77"/>
    </w:p>
    <w:p>
      <w:pPr>
        <w:pStyle w:val="2"/>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根据预算绩效管理要求，本单位在202</w:t>
      </w:r>
      <w:r>
        <w:rPr>
          <w:rFonts w:hint="eastAsia"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年度预算编制阶段，组织对</w:t>
      </w:r>
      <w:r>
        <w:rPr>
          <w:rFonts w:hint="eastAsia" w:ascii="仿宋_GB2312" w:hAnsi="仿宋_GB2312" w:eastAsia="仿宋_GB2312" w:cs="仿宋_GB2312"/>
          <w:sz w:val="32"/>
          <w:szCs w:val="32"/>
        </w:rPr>
        <w:t>老科协学术交流活动项目</w:t>
      </w:r>
      <w:r>
        <w:rPr>
          <w:rFonts w:hint="eastAsia" w:hAnsi="仿宋_GB2312" w:cs="仿宋_GB2312"/>
          <w:sz w:val="32"/>
          <w:szCs w:val="32"/>
          <w:lang w:eastAsia="zh-CN"/>
        </w:rPr>
        <w:t>、</w:t>
      </w:r>
      <w:r>
        <w:rPr>
          <w:rFonts w:hint="eastAsia" w:ascii="仿宋_GB2312" w:hAnsi="仿宋_GB2312" w:eastAsia="仿宋_GB2312" w:cs="仿宋_GB2312"/>
          <w:sz w:val="32"/>
          <w:szCs w:val="32"/>
          <w:lang w:eastAsia="zh-CN"/>
        </w:rPr>
        <w:t>全民科学素质提升</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w:t>
      </w:r>
      <w:r>
        <w:rPr>
          <w:rFonts w:hint="eastAsia" w:hAnsi="仿宋_GB2312" w:cs="仿宋_GB2312"/>
          <w:sz w:val="32"/>
          <w:szCs w:val="32"/>
          <w:lang w:val="en-US" w:eastAsia="zh-CN"/>
        </w:rPr>
        <w:t>内江市天府科技云服务中心运维项目等</w:t>
      </w:r>
      <w:r>
        <w:rPr>
          <w:rFonts w:hint="eastAsia"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个项目开展了预算事前绩效评估，对</w:t>
      </w:r>
      <w:r>
        <w:rPr>
          <w:rFonts w:hint="eastAsia"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个项目编制了绩效目标，预算执行过程中，选取</w:t>
      </w:r>
      <w:r>
        <w:rPr>
          <w:rFonts w:hint="eastAsia"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个项目开展绩效监控，组织对</w:t>
      </w:r>
      <w:r>
        <w:rPr>
          <w:rFonts w:hint="eastAsia"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个项目开展绩效自评，绩效自评表详见</w:t>
      </w:r>
      <w:r>
        <w:rPr>
          <w:rFonts w:hint="eastAsia" w:hAnsi="仿宋_GB2312" w:cs="仿宋_GB2312"/>
          <w:color w:val="auto"/>
          <w:sz w:val="32"/>
          <w:szCs w:val="32"/>
          <w:highlight w:val="none"/>
          <w:lang w:eastAsia="zh-CN"/>
        </w:rPr>
        <w:t>第四部分</w:t>
      </w:r>
      <w:r>
        <w:rPr>
          <w:rFonts w:hint="eastAsia" w:ascii="仿宋_GB2312" w:hAnsi="仿宋_GB2312" w:eastAsia="仿宋_GB2312" w:cs="仿宋_GB2312"/>
          <w:color w:val="auto"/>
          <w:sz w:val="32"/>
          <w:szCs w:val="32"/>
          <w:highlight w:val="none"/>
        </w:rPr>
        <w:t>附件。</w:t>
      </w:r>
    </w:p>
    <w:p>
      <w:pPr>
        <w:pStyle w:val="2"/>
        <w:ind w:firstLine="640" w:firstLineChars="200"/>
        <w:rPr>
          <w:rFonts w:hint="eastAsia" w:ascii="仿宋_GB2312" w:hAnsi="仿宋_GB2312" w:eastAsia="仿宋_GB2312" w:cs="仿宋_GB2312"/>
          <w:color w:val="auto"/>
          <w:sz w:val="32"/>
          <w:szCs w:val="32"/>
          <w:highlight w:val="none"/>
          <w:lang w:eastAsia="zh-CN"/>
        </w:rPr>
      </w:pPr>
    </w:p>
    <w:p>
      <w:pPr>
        <w:widowControl/>
        <w:jc w:val="left"/>
        <w:rPr>
          <w:rFonts w:ascii="仿宋_GB2312" w:eastAsia="仿宋_GB2312"/>
          <w:b/>
          <w:color w:val="auto"/>
          <w:sz w:val="32"/>
          <w:szCs w:val="32"/>
          <w:highlight w:val="none"/>
        </w:rPr>
      </w:pPr>
      <w:r>
        <w:rPr>
          <w:rFonts w:ascii="仿宋_GB2312" w:eastAsia="仿宋_GB2312"/>
          <w:b/>
          <w:color w:val="auto"/>
          <w:sz w:val="32"/>
          <w:szCs w:val="32"/>
          <w:highlight w:val="none"/>
        </w:rPr>
        <w:br w:type="page"/>
      </w:r>
    </w:p>
    <w:p>
      <w:pPr>
        <w:numPr>
          <w:ilvl w:val="0"/>
          <w:numId w:val="4"/>
        </w:numPr>
        <w:spacing w:line="600" w:lineRule="exact"/>
        <w:ind w:firstLine="660" w:firstLineChars="150"/>
        <w:jc w:val="center"/>
        <w:outlineLvl w:val="0"/>
        <w:rPr>
          <w:rStyle w:val="27"/>
          <w:rFonts w:ascii="黑体" w:hAnsi="黑体" w:eastAsia="黑体"/>
          <w:b w:val="0"/>
          <w:color w:val="auto"/>
          <w:highlight w:val="none"/>
        </w:rPr>
      </w:pPr>
      <w:bookmarkStart w:id="78" w:name="_Toc15396613"/>
      <w:bookmarkStart w:id="79" w:name="_Toc21476"/>
      <w:bookmarkStart w:id="80" w:name="_Toc15377225"/>
      <w:r>
        <w:rPr>
          <w:rFonts w:hint="eastAsia" w:ascii="黑体" w:hAnsi="黑体" w:eastAsia="黑体"/>
          <w:color w:val="auto"/>
          <w:sz w:val="44"/>
          <w:szCs w:val="44"/>
          <w:highlight w:val="none"/>
        </w:rPr>
        <w:t>名</w:t>
      </w:r>
      <w:r>
        <w:rPr>
          <w:rStyle w:val="27"/>
          <w:rFonts w:hint="eastAsia" w:ascii="黑体" w:hAnsi="黑体" w:eastAsia="黑体"/>
          <w:b w:val="0"/>
          <w:color w:val="auto"/>
          <w:highlight w:val="none"/>
        </w:rPr>
        <w:t>词解释</w:t>
      </w:r>
      <w:bookmarkEnd w:id="78"/>
      <w:bookmarkEnd w:id="79"/>
      <w:bookmarkEnd w:id="80"/>
    </w:p>
    <w:p>
      <w:pPr>
        <w:spacing w:line="600" w:lineRule="exact"/>
        <w:jc w:val="left"/>
        <w:rPr>
          <w:rFonts w:ascii="宋体"/>
          <w:b/>
          <w:color w:val="auto"/>
          <w:sz w:val="44"/>
          <w:szCs w:val="44"/>
          <w:highlight w:val="none"/>
        </w:rPr>
      </w:pPr>
    </w:p>
    <w:p>
      <w:pPr>
        <w:pStyle w:val="25"/>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财政拨款收入：指单位从同级财政部门取得的财政预算资金。</w:t>
      </w:r>
    </w:p>
    <w:p>
      <w:pPr>
        <w:pStyle w:val="25"/>
        <w:spacing w:line="560" w:lineRule="exact"/>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rPr>
        <w:t>事业收入：指事业单位开展专业业务活动及辅助活动取得的收入。</w:t>
      </w:r>
    </w:p>
    <w:p>
      <w:pPr>
        <w:pStyle w:val="25"/>
        <w:spacing w:line="560" w:lineRule="exact"/>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3.</w:t>
      </w:r>
      <w:r>
        <w:rPr>
          <w:rFonts w:hint="eastAsia" w:ascii="仿宋_GB2312" w:eastAsia="仿宋_GB2312"/>
          <w:color w:val="auto"/>
          <w:sz w:val="32"/>
          <w:szCs w:val="32"/>
          <w:highlight w:val="none"/>
        </w:rPr>
        <w:t>经营收入：指事业单位在专业业务活动及其辅助活动之外开展非独立核算经营活动取得的收入。</w:t>
      </w:r>
    </w:p>
    <w:p>
      <w:pPr>
        <w:pStyle w:val="25"/>
        <w:spacing w:line="560" w:lineRule="exact"/>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4.</w:t>
      </w:r>
      <w:r>
        <w:rPr>
          <w:rFonts w:hint="eastAsia" w:ascii="仿宋_GB2312" w:eastAsia="仿宋_GB2312"/>
          <w:color w:val="auto"/>
          <w:sz w:val="32"/>
          <w:szCs w:val="32"/>
          <w:highlight w:val="none"/>
        </w:rPr>
        <w:t>其他收入：指单位取得的除上述收入以外的各项收入。</w:t>
      </w:r>
    </w:p>
    <w:p>
      <w:pPr>
        <w:pStyle w:val="25"/>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5.</w:t>
      </w:r>
      <w:r>
        <w:rPr>
          <w:rFonts w:hint="eastAsia" w:ascii="仿宋_GB2312" w:eastAsia="仿宋_GB2312"/>
          <w:color w:val="auto"/>
          <w:sz w:val="32"/>
          <w:szCs w:val="32"/>
          <w:highlight w:val="none"/>
          <w:lang w:eastAsia="zh-CN"/>
        </w:rPr>
        <w:t>使用非财政拨款结余</w:t>
      </w:r>
      <w:r>
        <w:rPr>
          <w:rFonts w:hint="eastAsia" w:ascii="仿宋_GB2312" w:eastAsia="仿宋_GB2312"/>
          <w:color w:val="auto"/>
          <w:sz w:val="32"/>
          <w:szCs w:val="32"/>
          <w:highlight w:val="none"/>
        </w:rPr>
        <w:t>：指事业单位</w:t>
      </w:r>
      <w:r>
        <w:rPr>
          <w:rFonts w:hint="eastAsia" w:ascii="仿宋_GB2312" w:eastAsia="仿宋_GB2312"/>
          <w:color w:val="auto"/>
          <w:sz w:val="32"/>
          <w:szCs w:val="32"/>
          <w:highlight w:val="none"/>
          <w:lang w:eastAsia="zh-CN"/>
        </w:rPr>
        <w:t>使用以前年度积累的非财政拨款结余弥补当年收支差额的金额。</w:t>
      </w:r>
      <w:r>
        <w:rPr>
          <w:rFonts w:ascii="仿宋_GB2312" w:eastAsia="仿宋_GB2312"/>
          <w:color w:val="auto"/>
          <w:sz w:val="32"/>
          <w:szCs w:val="32"/>
          <w:highlight w:val="none"/>
        </w:rPr>
        <w:t xml:space="preserve"> </w:t>
      </w:r>
    </w:p>
    <w:p>
      <w:pPr>
        <w:pStyle w:val="25"/>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6.</w:t>
      </w:r>
      <w:r>
        <w:rPr>
          <w:rFonts w:hint="eastAsia" w:ascii="仿宋_GB2312" w:eastAsia="仿宋_GB2312"/>
          <w:color w:val="auto"/>
          <w:sz w:val="32"/>
          <w:szCs w:val="32"/>
          <w:highlight w:val="none"/>
        </w:rPr>
        <w:t>年初结转和结余：指以前年度尚未完成、结转到本年按有关规定继续使用的资金。</w:t>
      </w:r>
      <w:r>
        <w:rPr>
          <w:rFonts w:ascii="仿宋_GB2312" w:eastAsia="仿宋_GB2312"/>
          <w:color w:val="auto"/>
          <w:sz w:val="32"/>
          <w:szCs w:val="32"/>
          <w:highlight w:val="none"/>
        </w:rPr>
        <w:t xml:space="preserve"> </w:t>
      </w:r>
    </w:p>
    <w:p>
      <w:pPr>
        <w:pStyle w:val="25"/>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7.</w:t>
      </w:r>
      <w:r>
        <w:rPr>
          <w:rFonts w:hint="eastAsia" w:ascii="仿宋_GB2312" w:eastAsia="仿宋_GB2312"/>
          <w:color w:val="auto"/>
          <w:sz w:val="32"/>
          <w:szCs w:val="32"/>
          <w:highlight w:val="none"/>
        </w:rPr>
        <w:t>结余分配：指事业单位按照会计制度规定</w:t>
      </w:r>
      <w:r>
        <w:rPr>
          <w:rFonts w:hint="eastAsia" w:ascii="仿宋_GB2312" w:eastAsia="仿宋_GB2312"/>
          <w:color w:val="auto"/>
          <w:sz w:val="32"/>
          <w:szCs w:val="32"/>
          <w:highlight w:val="none"/>
          <w:lang w:eastAsia="zh-CN"/>
        </w:rPr>
        <w:t>缴纳的所得税、提取的专用结余以及转入非财政拨款结余的金额</w:t>
      </w:r>
      <w:r>
        <w:rPr>
          <w:rFonts w:hint="eastAsia" w:ascii="仿宋_GB2312" w:eastAsia="仿宋_GB2312"/>
          <w:color w:val="auto"/>
          <w:sz w:val="32"/>
          <w:szCs w:val="32"/>
          <w:highlight w:val="none"/>
        </w:rPr>
        <w:t>等。</w:t>
      </w:r>
    </w:p>
    <w:p>
      <w:pPr>
        <w:pStyle w:val="25"/>
        <w:spacing w:line="560" w:lineRule="exact"/>
        <w:ind w:firstLine="640" w:firstLineChars="200"/>
        <w:rPr>
          <w:rFonts w:hint="eastAsia" w:ascii="仿宋_GB2312" w:eastAsia="仿宋_GB2312"/>
          <w:i w:val="0"/>
          <w:iCs/>
          <w:sz w:val="32"/>
          <w:szCs w:val="32"/>
        </w:rPr>
      </w:pPr>
      <w:r>
        <w:rPr>
          <w:rFonts w:ascii="仿宋_GB2312" w:eastAsia="仿宋_GB2312"/>
          <w:color w:val="auto"/>
          <w:sz w:val="32"/>
          <w:szCs w:val="32"/>
          <w:highlight w:val="none"/>
        </w:rPr>
        <w:t>8</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年末结转和结余：指单位按有关规定结转到下年或以后年度继续使用的资金。</w:t>
      </w:r>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9.</w:t>
      </w:r>
      <w:r>
        <w:rPr>
          <w:rFonts w:hint="eastAsia" w:ascii="仿宋_GB2312" w:hAnsi="仿宋_GB2312" w:eastAsia="仿宋_GB2312" w:cs="仿宋_GB2312"/>
          <w:b w:val="0"/>
          <w:bCs/>
          <w:color w:val="auto"/>
          <w:sz w:val="32"/>
          <w:szCs w:val="32"/>
        </w:rPr>
        <w:t>一般公共服务（类）群众团体事务（款）行政运行（项）:</w:t>
      </w:r>
      <w:r>
        <w:rPr>
          <w:rFonts w:hint="eastAsia" w:ascii="仿宋_GB2312" w:eastAsia="仿宋_GB2312"/>
          <w:color w:val="auto"/>
          <w:sz w:val="32"/>
          <w:szCs w:val="32"/>
          <w:highlight w:val="none"/>
        </w:rPr>
        <w:t>指</w:t>
      </w:r>
      <w:r>
        <w:rPr>
          <w:rFonts w:hint="eastAsia" w:ascii="仿宋_GB2312" w:eastAsia="仿宋_GB2312" w:cs="仿宋"/>
          <w:color w:val="000000"/>
          <w:kern w:val="0"/>
          <w:sz w:val="32"/>
          <w:szCs w:val="32"/>
          <w:lang w:val="en-US" w:bidi="ar-SA"/>
        </w:rPr>
        <w:t>反映行政单位（包括实行公务员管理的事业单位）的基本支出</w:t>
      </w:r>
      <w:r>
        <w:rPr>
          <w:rFonts w:hint="eastAsia" w:ascii="仿宋_GB2312" w:eastAsia="仿宋_GB2312"/>
          <w:color w:val="000000"/>
          <w:sz w:val="32"/>
          <w:szCs w:val="32"/>
        </w:rPr>
        <w:t>。</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10.</w:t>
      </w:r>
      <w:r>
        <w:rPr>
          <w:rFonts w:hint="eastAsia" w:ascii="仿宋_GB2312" w:eastAsia="仿宋_GB2312"/>
          <w:color w:val="auto"/>
          <w:sz w:val="32"/>
          <w:szCs w:val="32"/>
          <w:highlight w:val="none"/>
        </w:rPr>
        <w:t>教育支出（类）进修及培训（款）培训支出（项）:指</w:t>
      </w:r>
      <w:r>
        <w:rPr>
          <w:rFonts w:hint="eastAsia" w:ascii="仿宋_GB2312" w:eastAsia="仿宋_GB2312"/>
          <w:color w:val="auto"/>
          <w:sz w:val="32"/>
          <w:szCs w:val="32"/>
          <w:highlight w:val="none"/>
          <w:lang w:val="en-US"/>
        </w:rPr>
        <w:t>反映各部门安排的用于培训的支出</w:t>
      </w:r>
      <w:r>
        <w:rPr>
          <w:rFonts w:hint="eastAsia" w:ascii="仿宋_GB2312" w:eastAsia="仿宋_GB2312"/>
          <w:color w:val="auto"/>
          <w:sz w:val="32"/>
          <w:szCs w:val="32"/>
          <w:highlight w:val="none"/>
        </w:rPr>
        <w:t>。</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科学技术支出（类）科学技术管理事务（款）行政</w:t>
      </w:r>
      <w:r>
        <w:rPr>
          <w:rFonts w:hint="eastAsia" w:ascii="仿宋_GB2312" w:eastAsia="仿宋_GB2312"/>
          <w:color w:val="auto"/>
          <w:sz w:val="32"/>
          <w:szCs w:val="32"/>
          <w:highlight w:val="none"/>
          <w:lang w:val="en-US" w:eastAsia="zh-CN"/>
        </w:rPr>
        <w:t>运行</w:t>
      </w:r>
      <w:r>
        <w:rPr>
          <w:rFonts w:hint="eastAsia" w:ascii="仿宋_GB2312" w:eastAsia="仿宋_GB2312"/>
          <w:color w:val="auto"/>
          <w:sz w:val="32"/>
          <w:szCs w:val="32"/>
          <w:highlight w:val="none"/>
        </w:rPr>
        <w:t>（项）:指</w:t>
      </w:r>
      <w:r>
        <w:rPr>
          <w:rFonts w:hint="eastAsia" w:ascii="仿宋_GB2312" w:eastAsia="仿宋_GB2312"/>
          <w:color w:val="auto"/>
          <w:sz w:val="32"/>
          <w:szCs w:val="32"/>
          <w:highlight w:val="none"/>
          <w:lang w:val="en-US"/>
        </w:rPr>
        <w:t>反映行政单位（包括实行公务员管理的事业单位）</w:t>
      </w:r>
      <w:r>
        <w:rPr>
          <w:rFonts w:hint="eastAsia" w:ascii="仿宋_GB2312" w:eastAsia="仿宋_GB2312"/>
          <w:color w:val="auto"/>
          <w:sz w:val="32"/>
          <w:szCs w:val="32"/>
          <w:highlight w:val="none"/>
          <w:lang w:val="en-US" w:eastAsia="zh-CN"/>
        </w:rPr>
        <w:t>的</w:t>
      </w:r>
      <w:r>
        <w:rPr>
          <w:rFonts w:hint="eastAsia" w:ascii="仿宋_GB2312" w:eastAsia="仿宋_GB2312"/>
          <w:color w:val="auto"/>
          <w:sz w:val="32"/>
          <w:szCs w:val="32"/>
          <w:highlight w:val="none"/>
          <w:lang w:val="en-US"/>
        </w:rPr>
        <w:t>基本支出</w:t>
      </w:r>
      <w:r>
        <w:rPr>
          <w:rFonts w:hint="eastAsia" w:ascii="仿宋_GB2312" w:eastAsia="仿宋_GB2312"/>
          <w:color w:val="auto"/>
          <w:sz w:val="32"/>
          <w:szCs w:val="32"/>
          <w:highlight w:val="none"/>
        </w:rPr>
        <w:t>。</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12.科学技术支出（类）科学技术普及（款）科普活动（项）:指反映用于开展科普活动的支出。</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13.科学技术支出（类）科学技术普及（款）学术交流活动（项）：指</w:t>
      </w:r>
      <w:r>
        <w:rPr>
          <w:rFonts w:hint="eastAsia" w:ascii="仿宋_GB2312" w:eastAsia="仿宋_GB2312"/>
          <w:color w:val="auto"/>
          <w:sz w:val="32"/>
          <w:szCs w:val="32"/>
          <w:highlight w:val="none"/>
          <w:lang w:val="en-US"/>
        </w:rPr>
        <w:t>反映开展学术交流活动、编制学术期刊和学会补助等方面的支出</w:t>
      </w:r>
      <w:r>
        <w:rPr>
          <w:rFonts w:hint="eastAsia" w:ascii="仿宋_GB2312" w:eastAsia="仿宋_GB2312"/>
          <w:color w:val="auto"/>
          <w:sz w:val="32"/>
          <w:szCs w:val="32"/>
          <w:highlight w:val="none"/>
        </w:rPr>
        <w:t>。。</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14.科学技术支出（类）科学技术普及（款）其他科学技术普及支出（项）：指</w:t>
      </w:r>
      <w:r>
        <w:rPr>
          <w:rFonts w:hint="eastAsia" w:ascii="仿宋_GB2312" w:eastAsia="仿宋_GB2312"/>
          <w:color w:val="auto"/>
          <w:sz w:val="32"/>
          <w:szCs w:val="32"/>
          <w:highlight w:val="none"/>
          <w:lang w:val="en-US"/>
        </w:rPr>
        <w:t>反映除上述项目以外其他用于科学技术普及方面的支出</w:t>
      </w:r>
      <w:r>
        <w:rPr>
          <w:rFonts w:hint="eastAsia" w:ascii="仿宋_GB2312" w:eastAsia="仿宋_GB2312"/>
          <w:color w:val="auto"/>
          <w:sz w:val="32"/>
          <w:szCs w:val="32"/>
          <w:highlight w:val="none"/>
        </w:rPr>
        <w:t>。</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15.社会保障和就业支出（类）行政事业单位</w:t>
      </w:r>
      <w:r>
        <w:rPr>
          <w:rFonts w:hint="eastAsia" w:ascii="仿宋_GB2312" w:eastAsia="仿宋_GB2312"/>
          <w:color w:val="auto"/>
          <w:sz w:val="32"/>
          <w:szCs w:val="32"/>
          <w:highlight w:val="none"/>
          <w:lang w:eastAsia="zh-CN"/>
        </w:rPr>
        <w:t>养老支出</w:t>
      </w:r>
      <w:r>
        <w:rPr>
          <w:rFonts w:hint="eastAsia" w:ascii="仿宋_GB2312" w:eastAsia="仿宋_GB2312"/>
          <w:color w:val="auto"/>
          <w:sz w:val="32"/>
          <w:szCs w:val="32"/>
          <w:highlight w:val="none"/>
        </w:rPr>
        <w:t>（款）行政单位离退休（项）:指</w:t>
      </w:r>
      <w:r>
        <w:rPr>
          <w:rFonts w:hint="eastAsia" w:ascii="仿宋_GB2312" w:eastAsia="仿宋_GB2312"/>
          <w:color w:val="auto"/>
          <w:sz w:val="32"/>
          <w:szCs w:val="32"/>
          <w:highlight w:val="none"/>
          <w:lang w:val="en-US"/>
        </w:rPr>
        <w:t>反映行政单位（包括实行公务员管理的事业单位）开支的离退休经费</w:t>
      </w:r>
      <w:r>
        <w:rPr>
          <w:rFonts w:hint="eastAsia" w:ascii="仿宋_GB2312" w:eastAsia="仿宋_GB2312"/>
          <w:color w:val="auto"/>
          <w:sz w:val="32"/>
          <w:szCs w:val="32"/>
          <w:highlight w:val="none"/>
        </w:rPr>
        <w:t>。</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16.社会保障和就业支出（类）行政事业单位</w:t>
      </w:r>
      <w:r>
        <w:rPr>
          <w:rFonts w:hint="eastAsia" w:ascii="仿宋_GB2312" w:eastAsia="仿宋_GB2312"/>
          <w:color w:val="auto"/>
          <w:sz w:val="32"/>
          <w:szCs w:val="32"/>
          <w:highlight w:val="none"/>
          <w:lang w:eastAsia="zh-CN"/>
        </w:rPr>
        <w:t>养老支出</w:t>
      </w:r>
      <w:r>
        <w:rPr>
          <w:rFonts w:hint="eastAsia" w:ascii="仿宋_GB2312" w:eastAsia="仿宋_GB2312"/>
          <w:color w:val="auto"/>
          <w:sz w:val="32"/>
          <w:szCs w:val="32"/>
          <w:highlight w:val="none"/>
        </w:rPr>
        <w:t>（款）机关事业单位基本养老保险缴费支出（项）:指</w:t>
      </w:r>
      <w:r>
        <w:rPr>
          <w:rFonts w:hint="eastAsia" w:ascii="仿宋_GB2312" w:eastAsia="仿宋_GB2312"/>
          <w:color w:val="auto"/>
          <w:sz w:val="32"/>
          <w:szCs w:val="32"/>
          <w:highlight w:val="none"/>
          <w:lang w:val="en-US"/>
        </w:rPr>
        <w:t>反映机关事业单位实施养老保险制度由单位缴纳的基本养老保险费支出</w:t>
      </w:r>
      <w:r>
        <w:rPr>
          <w:rFonts w:hint="eastAsia" w:ascii="仿宋_GB2312" w:eastAsia="仿宋_GB2312"/>
          <w:color w:val="auto"/>
          <w:sz w:val="32"/>
          <w:szCs w:val="32"/>
          <w:highlight w:val="none"/>
        </w:rPr>
        <w:t>。</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17.卫生健康支出（类）行政事业单位医疗（款）行政单位医疗（项）：指</w:t>
      </w:r>
      <w:r>
        <w:rPr>
          <w:rFonts w:hint="eastAsia" w:ascii="仿宋_GB2312" w:eastAsia="仿宋_GB2312"/>
          <w:color w:val="auto"/>
          <w:sz w:val="32"/>
          <w:szCs w:val="32"/>
          <w:highlight w:val="none"/>
          <w:lang w:val="en-US"/>
        </w:rPr>
        <w:t>反映财政部门集中安排的行政单位基本医疗保险缴费经费</w:t>
      </w:r>
      <w:r>
        <w:rPr>
          <w:rFonts w:hint="eastAsia" w:ascii="仿宋_GB2312" w:eastAsia="仿宋_GB2312"/>
          <w:color w:val="auto"/>
          <w:sz w:val="32"/>
          <w:szCs w:val="32"/>
          <w:highlight w:val="none"/>
        </w:rPr>
        <w:t>。</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18.卫生健康支出（类）行政事业单位医疗（款）公务员医疗补助（项）：指</w:t>
      </w:r>
      <w:r>
        <w:rPr>
          <w:rFonts w:hint="eastAsia" w:ascii="仿宋_GB2312" w:eastAsia="仿宋_GB2312"/>
          <w:color w:val="auto"/>
          <w:sz w:val="32"/>
          <w:szCs w:val="32"/>
          <w:highlight w:val="none"/>
          <w:lang w:val="en-US"/>
        </w:rPr>
        <w:t>反映财政部门集中安排的公务员医疗补助经费</w:t>
      </w:r>
      <w:r>
        <w:rPr>
          <w:rFonts w:hint="eastAsia" w:ascii="仿宋_GB2312" w:eastAsia="仿宋_GB2312"/>
          <w:color w:val="auto"/>
          <w:sz w:val="32"/>
          <w:szCs w:val="32"/>
          <w:highlight w:val="none"/>
        </w:rPr>
        <w:t>。</w:t>
      </w:r>
    </w:p>
    <w:p>
      <w:pPr>
        <w:pStyle w:val="25"/>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19.住房保障支出（类）住房改革支出（款）住房公积金（项）：</w:t>
      </w:r>
      <w:r>
        <w:rPr>
          <w:rFonts w:hint="eastAsia" w:ascii="仿宋_GB2312" w:eastAsia="仿宋_GB2312"/>
          <w:color w:val="auto"/>
          <w:sz w:val="32"/>
          <w:szCs w:val="32"/>
          <w:highlight w:val="none"/>
          <w:lang w:eastAsia="zh-CN"/>
        </w:rPr>
        <w:t>反映行政事业单位按人力资源和社会保障部、财政部规定的基本工资和津贴补贴以及规定比例为职工缴纳的住房公积金</w:t>
      </w: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基本支出：指为保障机构正常运转、完成日常工作任务而发生的人员支出和公用支出。</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lang w:val="en-US" w:eastAsia="zh-CN"/>
        </w:rPr>
        <w:t>1</w:t>
      </w:r>
      <w:r>
        <w:rPr>
          <w:rFonts w:ascii="仿宋_GB2312" w:eastAsia="仿宋_GB2312"/>
          <w:color w:val="auto"/>
          <w:sz w:val="32"/>
          <w:szCs w:val="32"/>
          <w:highlight w:val="none"/>
        </w:rPr>
        <w:t>.</w:t>
      </w:r>
      <w:r>
        <w:rPr>
          <w:rFonts w:hint="eastAsia" w:ascii="仿宋_GB2312" w:eastAsia="仿宋_GB2312"/>
          <w:color w:val="auto"/>
          <w:sz w:val="32"/>
          <w:szCs w:val="32"/>
          <w:highlight w:val="none"/>
        </w:rPr>
        <w:t>项目支出：指在基本支出之外为完成特定行政任务和事业发展目标所发生的支出。</w:t>
      </w:r>
      <w:r>
        <w:rPr>
          <w:rFonts w:ascii="仿宋_GB2312" w:eastAsia="仿宋_GB2312"/>
          <w:color w:val="auto"/>
          <w:sz w:val="32"/>
          <w:szCs w:val="32"/>
          <w:highlight w:val="none"/>
        </w:rPr>
        <w:t xml:space="preserve"> </w:t>
      </w:r>
    </w:p>
    <w:p>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lang w:val="en-US" w:eastAsia="zh-CN"/>
        </w:rPr>
        <w:t>2</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经营支出：指事业单位在专业业务活动及其辅助活动之外开展非独立核算经营活动发生的支出。</w:t>
      </w:r>
    </w:p>
    <w:p>
      <w:pPr>
        <w:pStyle w:val="25"/>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23</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“三公”经费：指</w:t>
      </w:r>
      <w:r>
        <w:rPr>
          <w:rFonts w:hint="eastAsia" w:ascii="仿宋_GB2312" w:eastAsia="仿宋_GB2312"/>
          <w:color w:val="auto"/>
          <w:sz w:val="32"/>
          <w:szCs w:val="32"/>
          <w:highlight w:val="none"/>
          <w:lang w:eastAsia="zh-CN"/>
        </w:rPr>
        <w:t>单位</w:t>
      </w:r>
      <w:r>
        <w:rPr>
          <w:rFonts w:hint="eastAsia" w:ascii="仿宋_GB2312" w:eastAsia="仿宋_GB2312"/>
          <w:color w:val="auto"/>
          <w:sz w:val="32"/>
          <w:szCs w:val="32"/>
          <w:highlight w:val="none"/>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5"/>
        <w:spacing w:line="560" w:lineRule="exact"/>
        <w:ind w:firstLine="640" w:firstLineChars="200"/>
        <w:rPr>
          <w:rFonts w:ascii="仿宋_GB2312" w:eastAsia="仿宋_GB2312" w:cs="黑体"/>
          <w:color w:val="auto"/>
          <w:sz w:val="32"/>
          <w:szCs w:val="32"/>
          <w:highlight w:val="none"/>
        </w:rPr>
      </w:pPr>
      <w:r>
        <w:rPr>
          <w:rFonts w:hint="eastAsia" w:ascii="仿宋_GB2312" w:eastAsia="仿宋_GB2312"/>
          <w:color w:val="auto"/>
          <w:sz w:val="32"/>
          <w:szCs w:val="32"/>
          <w:highlight w:val="none"/>
          <w:lang w:val="en-US" w:eastAsia="zh-CN"/>
        </w:rPr>
        <w:t>24</w:t>
      </w:r>
      <w:r>
        <w:rPr>
          <w:rFonts w:ascii="仿宋_GB2312" w:eastAsia="仿宋_GB2312"/>
          <w:color w:val="auto"/>
          <w:sz w:val="32"/>
          <w:szCs w:val="32"/>
          <w:highlight w:val="none"/>
        </w:rPr>
        <w:t>.</w:t>
      </w:r>
      <w:r>
        <w:rPr>
          <w:rFonts w:hint="eastAsia" w:ascii="仿宋_GB2312" w:eastAsia="仿宋_GB2312"/>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Fonts w:ascii="宋体"/>
          <w:b/>
          <w:color w:val="auto"/>
          <w:sz w:val="44"/>
          <w:szCs w:val="44"/>
          <w:highlight w:val="none"/>
        </w:rPr>
        <w:sectPr>
          <w:footerReference r:id="rId7" w:type="first"/>
          <w:footerReference r:id="rId6" w:type="default"/>
          <w:pgSz w:w="11906" w:h="16838"/>
          <w:pgMar w:top="1440" w:right="1800" w:bottom="1440" w:left="1800" w:header="851" w:footer="992" w:gutter="0"/>
          <w:pgNumType w:fmt="decimal" w:start="1"/>
          <w:cols w:space="425" w:num="1"/>
          <w:titlePg/>
          <w:docGrid w:type="lines" w:linePitch="312" w:charSpace="0"/>
        </w:sectPr>
      </w:pPr>
      <w:bookmarkStart w:id="81" w:name="_Toc15377226"/>
      <w:r>
        <w:rPr>
          <w:rFonts w:ascii="宋体"/>
          <w:b/>
          <w:color w:val="auto"/>
          <w:sz w:val="44"/>
          <w:szCs w:val="44"/>
          <w:highlight w:val="none"/>
        </w:rPr>
        <w:br w:type="page"/>
      </w:r>
      <w:bookmarkStart w:id="82" w:name="_Toc15396614"/>
      <w:bookmarkStart w:id="83" w:name="_Toc14966"/>
    </w:p>
    <w:p>
      <w:pPr>
        <w:spacing w:line="600" w:lineRule="exact"/>
        <w:jc w:val="center"/>
        <w:outlineLvl w:val="0"/>
        <w:rPr>
          <w:rStyle w:val="27"/>
          <w:rFonts w:ascii="黑体" w:hAnsi="黑体" w:eastAsia="黑体"/>
          <w:b w:val="0"/>
          <w:color w:val="auto"/>
          <w:highlight w:val="none"/>
        </w:rPr>
      </w:pPr>
      <w:r>
        <w:rPr>
          <w:rFonts w:hint="eastAsia" w:ascii="黑体" w:hAnsi="黑体" w:eastAsia="黑体"/>
          <w:color w:val="auto"/>
          <w:sz w:val="44"/>
          <w:szCs w:val="44"/>
          <w:highlight w:val="none"/>
        </w:rPr>
        <w:t>第</w:t>
      </w:r>
      <w:r>
        <w:rPr>
          <w:rStyle w:val="27"/>
          <w:rFonts w:hint="eastAsia" w:ascii="黑体" w:hAnsi="黑体" w:eastAsia="黑体"/>
          <w:b w:val="0"/>
          <w:color w:val="auto"/>
          <w:highlight w:val="none"/>
        </w:rPr>
        <w:t>四部分 附件</w:t>
      </w:r>
      <w:bookmarkEnd w:id="82"/>
      <w:bookmarkEnd w:id="83"/>
    </w:p>
    <w:p>
      <w:pPr>
        <w:keepNext w:val="0"/>
        <w:keepLines w:val="0"/>
        <w:pageBreakBefore w:val="0"/>
        <w:kinsoku/>
        <w:wordWrap/>
        <w:overflowPunct/>
        <w:topLinePunct w:val="0"/>
        <w:autoSpaceDE/>
        <w:autoSpaceDN/>
        <w:bidi w:val="0"/>
        <w:spacing w:line="572" w:lineRule="exact"/>
        <w:jc w:val="left"/>
        <w:textAlignment w:val="auto"/>
        <w:outlineLvl w:val="0"/>
        <w:rPr>
          <w:rFonts w:ascii="仿宋_GB2312" w:hAnsi="仿宋_GB2312" w:eastAsia="仿宋_GB2312" w:cs="仿宋_GB2312"/>
          <w:color w:val="auto"/>
          <w:sz w:val="32"/>
          <w:szCs w:val="32"/>
          <w:highlight w:val="none"/>
        </w:rPr>
      </w:pPr>
    </w:p>
    <w:p>
      <w:pPr>
        <w:spacing w:line="600" w:lineRule="exact"/>
        <w:jc w:val="center"/>
        <w:outlineLvl w:val="0"/>
        <w:rPr>
          <w:rFonts w:hint="eastAsia" w:ascii="宋体" w:hAnsi="宋体" w:eastAsia="宋体" w:cs="宋体"/>
          <w:color w:val="auto"/>
          <w:kern w:val="0"/>
          <w:sz w:val="32"/>
          <w:szCs w:val="32"/>
          <w:highlight w:val="none"/>
          <w:lang w:val="en-US" w:eastAsia="zh-CN" w:bidi="ar-SA"/>
        </w:rPr>
      </w:pPr>
      <w:bookmarkStart w:id="84" w:name="_Toc17027"/>
      <w:bookmarkStart w:id="85" w:name="_Toc15396618"/>
      <w:r>
        <w:rPr>
          <w:rFonts w:hint="eastAsia" w:ascii="宋体" w:hAnsi="宋体" w:eastAsia="宋体" w:cs="宋体"/>
          <w:color w:val="auto"/>
          <w:kern w:val="0"/>
          <w:sz w:val="32"/>
          <w:szCs w:val="32"/>
          <w:highlight w:val="none"/>
          <w:lang w:val="en-US" w:eastAsia="zh-CN" w:bidi="ar-SA"/>
        </w:rPr>
        <w:t>部门预算项目支出绩效自评表（2022年度）</w:t>
      </w:r>
      <w:bookmarkEnd w:id="84"/>
    </w:p>
    <w:p>
      <w:pPr>
        <w:pStyle w:val="2"/>
        <w:jc w:val="left"/>
        <w:rPr>
          <w:rFonts w:hint="eastAsia" w:ascii="仿宋_GB2312" w:hAnsi="Calibri" w:eastAsia="仿宋_GB2312" w:cs="仿宋"/>
          <w:color w:val="auto"/>
          <w:kern w:val="0"/>
          <w:sz w:val="32"/>
          <w:szCs w:val="32"/>
          <w:highlight w:val="none"/>
          <w:lang w:val="en-US" w:eastAsia="zh-CN" w:bidi="ar-SA"/>
        </w:rPr>
      </w:pPr>
      <w:r>
        <w:drawing>
          <wp:anchor distT="0" distB="0" distL="114300" distR="114300" simplePos="0" relativeHeight="251661312" behindDoc="0" locked="0" layoutInCell="1" allowOverlap="1">
            <wp:simplePos x="0" y="0"/>
            <wp:positionH relativeFrom="column">
              <wp:posOffset>-381000</wp:posOffset>
            </wp:positionH>
            <wp:positionV relativeFrom="paragraph">
              <wp:posOffset>75565</wp:posOffset>
            </wp:positionV>
            <wp:extent cx="6546850" cy="7180580"/>
            <wp:effectExtent l="0" t="0" r="6350" b="127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8"/>
                    <a:stretch>
                      <a:fillRect/>
                    </a:stretch>
                  </pic:blipFill>
                  <pic:spPr>
                    <a:xfrm>
                      <a:off x="0" y="0"/>
                      <a:ext cx="6546850" cy="7180580"/>
                    </a:xfrm>
                    <a:prstGeom prst="rect">
                      <a:avLst/>
                    </a:prstGeom>
                    <a:noFill/>
                    <a:ln>
                      <a:noFill/>
                    </a:ln>
                  </pic:spPr>
                </pic:pic>
              </a:graphicData>
            </a:graphic>
          </wp:anchor>
        </w:drawing>
      </w: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r>
        <w:drawing>
          <wp:anchor distT="0" distB="0" distL="114300" distR="114300" simplePos="0" relativeHeight="251662336" behindDoc="0" locked="0" layoutInCell="1" allowOverlap="1">
            <wp:simplePos x="0" y="0"/>
            <wp:positionH relativeFrom="column">
              <wp:posOffset>-642620</wp:posOffset>
            </wp:positionH>
            <wp:positionV relativeFrom="paragraph">
              <wp:posOffset>342900</wp:posOffset>
            </wp:positionV>
            <wp:extent cx="6632575" cy="6788150"/>
            <wp:effectExtent l="0" t="0" r="15875" b="12700"/>
            <wp:wrapSquare wrapText="bothSides"/>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9"/>
                    <a:stretch>
                      <a:fillRect/>
                    </a:stretch>
                  </pic:blipFill>
                  <pic:spPr>
                    <a:xfrm>
                      <a:off x="0" y="0"/>
                      <a:ext cx="6632575" cy="6788150"/>
                    </a:xfrm>
                    <a:prstGeom prst="rect">
                      <a:avLst/>
                    </a:prstGeom>
                    <a:noFill/>
                    <a:ln>
                      <a:noFill/>
                    </a:ln>
                  </pic:spPr>
                </pic:pic>
              </a:graphicData>
            </a:graphic>
          </wp:anchor>
        </w:drawing>
      </w: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r>
        <w:drawing>
          <wp:anchor distT="0" distB="0" distL="114300" distR="114300" simplePos="0" relativeHeight="251663360" behindDoc="0" locked="0" layoutInCell="1" allowOverlap="1">
            <wp:simplePos x="0" y="0"/>
            <wp:positionH relativeFrom="column">
              <wp:posOffset>-503555</wp:posOffset>
            </wp:positionH>
            <wp:positionV relativeFrom="paragraph">
              <wp:posOffset>27940</wp:posOffset>
            </wp:positionV>
            <wp:extent cx="6482080" cy="7299325"/>
            <wp:effectExtent l="0" t="0" r="13970" b="15875"/>
            <wp:wrapSquare wrapText="bothSides"/>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20"/>
                    <a:stretch>
                      <a:fillRect/>
                    </a:stretch>
                  </pic:blipFill>
                  <pic:spPr>
                    <a:xfrm>
                      <a:off x="0" y="0"/>
                      <a:ext cx="6482080" cy="7299325"/>
                    </a:xfrm>
                    <a:prstGeom prst="rect">
                      <a:avLst/>
                    </a:prstGeom>
                    <a:noFill/>
                    <a:ln>
                      <a:noFill/>
                    </a:ln>
                  </pic:spPr>
                </pic:pic>
              </a:graphicData>
            </a:graphic>
          </wp:anchor>
        </w:drawing>
      </w:r>
    </w:p>
    <w:p>
      <w:pPr>
        <w:pStyle w:val="2"/>
        <w:rPr>
          <w:rFonts w:hint="eastAsia" w:ascii="仿宋_GB2312" w:hAnsi="Calibri" w:eastAsia="仿宋_GB2312" w:cs="仿宋"/>
          <w:color w:val="auto"/>
          <w:kern w:val="0"/>
          <w:sz w:val="32"/>
          <w:szCs w:val="32"/>
          <w:highlight w:val="none"/>
          <w:lang w:val="en-US" w:eastAsia="zh-CN" w:bidi="ar-SA"/>
        </w:rPr>
      </w:pPr>
    </w:p>
    <w:p>
      <w:pPr>
        <w:spacing w:line="600" w:lineRule="exact"/>
        <w:jc w:val="center"/>
        <w:outlineLvl w:val="0"/>
        <w:rPr>
          <w:rFonts w:hint="eastAsia" w:ascii="仿宋" w:hAnsi="仿宋" w:eastAsia="仿宋"/>
          <w:b w:val="0"/>
          <w:color w:val="auto"/>
          <w:highlight w:val="none"/>
        </w:rPr>
      </w:pPr>
      <w:bookmarkStart w:id="86" w:name="_Toc2503"/>
      <w:r>
        <w:rPr>
          <w:rFonts w:hint="eastAsia" w:ascii="黑体" w:hAnsi="黑体" w:eastAsia="黑体"/>
          <w:color w:val="auto"/>
          <w:sz w:val="44"/>
          <w:szCs w:val="44"/>
          <w:highlight w:val="none"/>
        </w:rPr>
        <w:t>第</w:t>
      </w:r>
      <w:r>
        <w:rPr>
          <w:rStyle w:val="27"/>
          <w:rFonts w:hint="eastAsia" w:ascii="黑体" w:hAnsi="黑体" w:eastAsia="黑体"/>
          <w:b w:val="0"/>
          <w:color w:val="auto"/>
          <w:highlight w:val="none"/>
        </w:rPr>
        <w:t>五部分 附表</w:t>
      </w:r>
      <w:bookmarkEnd w:id="81"/>
      <w:bookmarkEnd w:id="85"/>
      <w:bookmarkEnd w:id="86"/>
      <w:bookmarkStart w:id="87" w:name="_Toc15396619"/>
    </w:p>
    <w:p>
      <w:pPr>
        <w:pStyle w:val="4"/>
        <w:rPr>
          <w:rFonts w:ascii="仿宋" w:hAnsi="仿宋" w:eastAsia="仿宋"/>
          <w:color w:val="auto"/>
          <w:highlight w:val="none"/>
        </w:rPr>
      </w:pPr>
      <w:bookmarkStart w:id="88" w:name="_Toc16293"/>
      <w:r>
        <w:rPr>
          <w:rFonts w:hint="eastAsia" w:ascii="仿宋" w:hAnsi="仿宋" w:eastAsia="仿宋"/>
          <w:b w:val="0"/>
          <w:color w:val="auto"/>
          <w:highlight w:val="none"/>
        </w:rPr>
        <w:t>一、收</w:t>
      </w:r>
      <w:r>
        <w:rPr>
          <w:rStyle w:val="28"/>
          <w:rFonts w:hint="eastAsia" w:ascii="仿宋" w:hAnsi="仿宋" w:eastAsia="仿宋"/>
          <w:b w:val="0"/>
          <w:bCs w:val="0"/>
          <w:color w:val="auto"/>
          <w:highlight w:val="none"/>
        </w:rPr>
        <w:t>入支出决算总表</w:t>
      </w:r>
      <w:bookmarkEnd w:id="87"/>
      <w:bookmarkEnd w:id="88"/>
    </w:p>
    <w:p>
      <w:pPr>
        <w:pStyle w:val="4"/>
        <w:rPr>
          <w:rFonts w:ascii="仿宋" w:hAnsi="仿宋" w:eastAsia="仿宋"/>
          <w:color w:val="auto"/>
          <w:highlight w:val="none"/>
        </w:rPr>
      </w:pPr>
      <w:bookmarkStart w:id="89" w:name="_Toc15396620"/>
      <w:bookmarkStart w:id="90" w:name="_Toc5802"/>
      <w:r>
        <w:rPr>
          <w:rFonts w:hint="eastAsia" w:ascii="仿宋" w:hAnsi="仿宋" w:eastAsia="仿宋"/>
          <w:b w:val="0"/>
          <w:color w:val="auto"/>
          <w:highlight w:val="none"/>
        </w:rPr>
        <w:t>二、收</w:t>
      </w:r>
      <w:r>
        <w:rPr>
          <w:rStyle w:val="28"/>
          <w:rFonts w:hint="eastAsia" w:ascii="仿宋" w:hAnsi="仿宋" w:eastAsia="仿宋"/>
          <w:b w:val="0"/>
          <w:bCs w:val="0"/>
          <w:color w:val="auto"/>
          <w:highlight w:val="none"/>
        </w:rPr>
        <w:t>入决算表</w:t>
      </w:r>
      <w:bookmarkEnd w:id="89"/>
      <w:bookmarkEnd w:id="90"/>
    </w:p>
    <w:p>
      <w:pPr>
        <w:pStyle w:val="4"/>
        <w:rPr>
          <w:rFonts w:ascii="仿宋" w:hAnsi="仿宋" w:eastAsia="仿宋"/>
          <w:color w:val="auto"/>
          <w:highlight w:val="none"/>
        </w:rPr>
      </w:pPr>
      <w:bookmarkStart w:id="91" w:name="_Toc23534"/>
      <w:bookmarkStart w:id="92" w:name="_Toc15396621"/>
      <w:r>
        <w:rPr>
          <w:rStyle w:val="28"/>
          <w:rFonts w:hint="eastAsia" w:ascii="仿宋" w:hAnsi="仿宋" w:eastAsia="仿宋"/>
          <w:b w:val="0"/>
          <w:bCs w:val="0"/>
          <w:color w:val="auto"/>
          <w:highlight w:val="none"/>
        </w:rPr>
        <w:t>三、</w:t>
      </w:r>
      <w:r>
        <w:rPr>
          <w:rFonts w:hint="eastAsia" w:ascii="仿宋" w:hAnsi="仿宋" w:eastAsia="仿宋"/>
          <w:b w:val="0"/>
          <w:color w:val="auto"/>
          <w:highlight w:val="none"/>
        </w:rPr>
        <w:t>支</w:t>
      </w:r>
      <w:r>
        <w:rPr>
          <w:rStyle w:val="28"/>
          <w:rFonts w:hint="eastAsia" w:ascii="仿宋" w:hAnsi="仿宋" w:eastAsia="仿宋"/>
          <w:b w:val="0"/>
          <w:bCs w:val="0"/>
          <w:color w:val="auto"/>
          <w:highlight w:val="none"/>
        </w:rPr>
        <w:t>出决算表</w:t>
      </w:r>
      <w:bookmarkEnd w:id="91"/>
      <w:bookmarkEnd w:id="92"/>
    </w:p>
    <w:p>
      <w:pPr>
        <w:pStyle w:val="4"/>
        <w:rPr>
          <w:rFonts w:ascii="仿宋" w:hAnsi="仿宋" w:eastAsia="仿宋"/>
          <w:b w:val="0"/>
          <w:color w:val="auto"/>
          <w:highlight w:val="none"/>
        </w:rPr>
      </w:pPr>
      <w:bookmarkStart w:id="93" w:name="_Toc20636"/>
      <w:bookmarkStart w:id="94" w:name="_Toc15396622"/>
      <w:r>
        <w:rPr>
          <w:rStyle w:val="28"/>
          <w:rFonts w:hint="eastAsia" w:ascii="仿宋" w:hAnsi="仿宋" w:eastAsia="仿宋"/>
          <w:b w:val="0"/>
          <w:bCs w:val="0"/>
          <w:color w:val="auto"/>
          <w:highlight w:val="none"/>
        </w:rPr>
        <w:t>四、</w:t>
      </w:r>
      <w:r>
        <w:rPr>
          <w:rFonts w:hint="eastAsia" w:ascii="仿宋" w:hAnsi="仿宋" w:eastAsia="仿宋"/>
          <w:b w:val="0"/>
          <w:color w:val="auto"/>
          <w:highlight w:val="none"/>
        </w:rPr>
        <w:t>财</w:t>
      </w:r>
      <w:r>
        <w:rPr>
          <w:rStyle w:val="28"/>
          <w:rFonts w:hint="eastAsia" w:ascii="仿宋" w:hAnsi="仿宋" w:eastAsia="仿宋"/>
          <w:b w:val="0"/>
          <w:bCs w:val="0"/>
          <w:color w:val="auto"/>
          <w:highlight w:val="none"/>
        </w:rPr>
        <w:t>政拨款收入支出决算总表</w:t>
      </w:r>
      <w:bookmarkEnd w:id="93"/>
      <w:bookmarkEnd w:id="94"/>
    </w:p>
    <w:p>
      <w:pPr>
        <w:pStyle w:val="4"/>
        <w:rPr>
          <w:rStyle w:val="28"/>
          <w:rFonts w:ascii="仿宋" w:hAnsi="仿宋" w:eastAsia="仿宋"/>
          <w:b w:val="0"/>
          <w:bCs w:val="0"/>
          <w:color w:val="auto"/>
          <w:highlight w:val="none"/>
        </w:rPr>
      </w:pPr>
      <w:bookmarkStart w:id="95" w:name="_Toc15396623"/>
      <w:bookmarkStart w:id="96" w:name="_Toc31443"/>
      <w:r>
        <w:rPr>
          <w:rStyle w:val="28"/>
          <w:rFonts w:hint="eastAsia" w:ascii="仿宋" w:hAnsi="仿宋" w:eastAsia="仿宋"/>
          <w:b w:val="0"/>
          <w:bCs w:val="0"/>
          <w:color w:val="auto"/>
          <w:highlight w:val="none"/>
        </w:rPr>
        <w:t>五、</w:t>
      </w:r>
      <w:r>
        <w:rPr>
          <w:rFonts w:hint="eastAsia" w:ascii="仿宋" w:hAnsi="仿宋" w:eastAsia="仿宋"/>
          <w:b w:val="0"/>
          <w:color w:val="auto"/>
          <w:highlight w:val="none"/>
        </w:rPr>
        <w:t>财</w:t>
      </w:r>
      <w:r>
        <w:rPr>
          <w:rStyle w:val="28"/>
          <w:rFonts w:hint="eastAsia" w:ascii="仿宋" w:hAnsi="仿宋" w:eastAsia="仿宋"/>
          <w:b w:val="0"/>
          <w:bCs w:val="0"/>
          <w:color w:val="auto"/>
          <w:highlight w:val="none"/>
        </w:rPr>
        <w:t>政拨款支出决算明细表</w:t>
      </w:r>
      <w:bookmarkEnd w:id="95"/>
      <w:bookmarkEnd w:id="96"/>
      <w:bookmarkStart w:id="97" w:name="_Toc15396624"/>
    </w:p>
    <w:p>
      <w:pPr>
        <w:pStyle w:val="4"/>
        <w:rPr>
          <w:rFonts w:ascii="仿宋" w:hAnsi="仿宋" w:eastAsia="仿宋"/>
          <w:color w:val="auto"/>
          <w:highlight w:val="none"/>
        </w:rPr>
      </w:pPr>
      <w:bookmarkStart w:id="98" w:name="_Toc8791"/>
      <w:r>
        <w:rPr>
          <w:rStyle w:val="28"/>
          <w:rFonts w:hint="eastAsia" w:ascii="仿宋" w:hAnsi="仿宋" w:eastAsia="仿宋"/>
          <w:b w:val="0"/>
          <w:bCs w:val="0"/>
          <w:color w:val="auto"/>
          <w:highlight w:val="none"/>
        </w:rPr>
        <w:t>六、</w:t>
      </w:r>
      <w:r>
        <w:rPr>
          <w:rFonts w:hint="eastAsia" w:ascii="仿宋" w:hAnsi="仿宋" w:eastAsia="仿宋"/>
          <w:b w:val="0"/>
          <w:color w:val="auto"/>
          <w:highlight w:val="none"/>
        </w:rPr>
        <w:t>一</w:t>
      </w:r>
      <w:r>
        <w:rPr>
          <w:rStyle w:val="28"/>
          <w:rFonts w:hint="eastAsia" w:ascii="仿宋" w:hAnsi="仿宋" w:eastAsia="仿宋"/>
          <w:b w:val="0"/>
          <w:bCs w:val="0"/>
          <w:color w:val="auto"/>
          <w:highlight w:val="none"/>
        </w:rPr>
        <w:t>般公共预算财政拨款支出决算表</w:t>
      </w:r>
      <w:bookmarkEnd w:id="97"/>
      <w:bookmarkEnd w:id="98"/>
    </w:p>
    <w:p>
      <w:pPr>
        <w:pStyle w:val="4"/>
        <w:rPr>
          <w:rFonts w:ascii="仿宋" w:hAnsi="仿宋" w:eastAsia="仿宋"/>
          <w:color w:val="auto"/>
          <w:highlight w:val="none"/>
        </w:rPr>
      </w:pPr>
      <w:bookmarkStart w:id="99" w:name="_Toc15494"/>
      <w:bookmarkStart w:id="100" w:name="_Toc15396625"/>
      <w:r>
        <w:rPr>
          <w:rStyle w:val="28"/>
          <w:rFonts w:hint="eastAsia" w:ascii="仿宋" w:hAnsi="仿宋" w:eastAsia="仿宋"/>
          <w:b w:val="0"/>
          <w:bCs w:val="0"/>
          <w:color w:val="auto"/>
          <w:highlight w:val="none"/>
        </w:rPr>
        <w:t>七、</w:t>
      </w:r>
      <w:r>
        <w:rPr>
          <w:rFonts w:hint="eastAsia" w:ascii="仿宋" w:hAnsi="仿宋" w:eastAsia="仿宋"/>
          <w:b w:val="0"/>
          <w:color w:val="auto"/>
          <w:highlight w:val="none"/>
        </w:rPr>
        <w:t>一</w:t>
      </w:r>
      <w:r>
        <w:rPr>
          <w:rStyle w:val="28"/>
          <w:rFonts w:hint="eastAsia" w:ascii="仿宋" w:hAnsi="仿宋" w:eastAsia="仿宋"/>
          <w:b w:val="0"/>
          <w:bCs w:val="0"/>
          <w:color w:val="auto"/>
          <w:highlight w:val="none"/>
        </w:rPr>
        <w:t>般公共预算财政拨款支出决算明细表</w:t>
      </w:r>
      <w:bookmarkEnd w:id="99"/>
      <w:bookmarkEnd w:id="100"/>
    </w:p>
    <w:p>
      <w:pPr>
        <w:pStyle w:val="4"/>
        <w:rPr>
          <w:rFonts w:ascii="仿宋" w:hAnsi="仿宋" w:eastAsia="仿宋"/>
          <w:color w:val="auto"/>
          <w:highlight w:val="none"/>
        </w:rPr>
      </w:pPr>
      <w:bookmarkStart w:id="101" w:name="_Toc15396626"/>
      <w:bookmarkStart w:id="102" w:name="_Toc29239"/>
      <w:r>
        <w:rPr>
          <w:rStyle w:val="28"/>
          <w:rFonts w:hint="eastAsia" w:ascii="仿宋" w:hAnsi="仿宋" w:eastAsia="仿宋"/>
          <w:b w:val="0"/>
          <w:bCs w:val="0"/>
          <w:color w:val="auto"/>
          <w:highlight w:val="none"/>
        </w:rPr>
        <w:t>八、</w:t>
      </w:r>
      <w:r>
        <w:rPr>
          <w:rFonts w:hint="eastAsia" w:ascii="仿宋" w:hAnsi="仿宋" w:eastAsia="仿宋"/>
          <w:b w:val="0"/>
          <w:color w:val="auto"/>
          <w:highlight w:val="none"/>
        </w:rPr>
        <w:t>一</w:t>
      </w:r>
      <w:r>
        <w:rPr>
          <w:rStyle w:val="28"/>
          <w:rFonts w:hint="eastAsia" w:ascii="仿宋" w:hAnsi="仿宋" w:eastAsia="仿宋"/>
          <w:b w:val="0"/>
          <w:bCs w:val="0"/>
          <w:color w:val="auto"/>
          <w:highlight w:val="none"/>
        </w:rPr>
        <w:t>般公共预算财政拨款基本支出决算表</w:t>
      </w:r>
      <w:bookmarkEnd w:id="101"/>
      <w:bookmarkEnd w:id="102"/>
    </w:p>
    <w:p>
      <w:pPr>
        <w:pStyle w:val="4"/>
        <w:rPr>
          <w:rFonts w:ascii="仿宋" w:hAnsi="仿宋" w:eastAsia="仿宋"/>
          <w:color w:val="auto"/>
          <w:highlight w:val="none"/>
        </w:rPr>
      </w:pPr>
      <w:bookmarkStart w:id="103" w:name="_Toc15396627"/>
      <w:bookmarkStart w:id="104" w:name="_Toc24853"/>
      <w:r>
        <w:rPr>
          <w:rStyle w:val="28"/>
          <w:rFonts w:hint="eastAsia" w:ascii="仿宋" w:hAnsi="仿宋" w:eastAsia="仿宋"/>
          <w:b w:val="0"/>
          <w:bCs w:val="0"/>
          <w:color w:val="auto"/>
          <w:highlight w:val="none"/>
        </w:rPr>
        <w:t>九、</w:t>
      </w:r>
      <w:r>
        <w:rPr>
          <w:rFonts w:hint="eastAsia" w:ascii="仿宋" w:hAnsi="仿宋" w:eastAsia="仿宋"/>
          <w:b w:val="0"/>
          <w:color w:val="auto"/>
          <w:highlight w:val="none"/>
        </w:rPr>
        <w:t>一</w:t>
      </w:r>
      <w:r>
        <w:rPr>
          <w:rStyle w:val="28"/>
          <w:rFonts w:hint="eastAsia" w:ascii="仿宋" w:hAnsi="仿宋" w:eastAsia="仿宋"/>
          <w:b w:val="0"/>
          <w:bCs w:val="0"/>
          <w:color w:val="auto"/>
          <w:highlight w:val="none"/>
        </w:rPr>
        <w:t>般公共预算财政拨款项目支出决算表</w:t>
      </w:r>
      <w:bookmarkEnd w:id="103"/>
      <w:bookmarkEnd w:id="104"/>
    </w:p>
    <w:p>
      <w:pPr>
        <w:pStyle w:val="4"/>
        <w:rPr>
          <w:rFonts w:ascii="仿宋" w:hAnsi="仿宋" w:eastAsia="仿宋"/>
          <w:color w:val="auto"/>
          <w:highlight w:val="none"/>
        </w:rPr>
      </w:pPr>
      <w:bookmarkStart w:id="105" w:name="_Toc15396628"/>
      <w:bookmarkStart w:id="106" w:name="_Toc20120"/>
      <w:r>
        <w:rPr>
          <w:rStyle w:val="28"/>
          <w:rFonts w:hint="eastAsia" w:ascii="仿宋" w:hAnsi="仿宋" w:eastAsia="仿宋"/>
          <w:b w:val="0"/>
          <w:bCs w:val="0"/>
          <w:color w:val="auto"/>
          <w:highlight w:val="none"/>
        </w:rPr>
        <w:t>十、</w:t>
      </w:r>
      <w:bookmarkEnd w:id="105"/>
      <w:r>
        <w:rPr>
          <w:rFonts w:hint="eastAsia" w:ascii="仿宋" w:hAnsi="仿宋" w:eastAsia="仿宋"/>
          <w:b w:val="0"/>
          <w:color w:val="auto"/>
          <w:highlight w:val="none"/>
        </w:rPr>
        <w:t>政</w:t>
      </w:r>
      <w:r>
        <w:rPr>
          <w:rStyle w:val="28"/>
          <w:rFonts w:hint="eastAsia" w:ascii="仿宋" w:hAnsi="仿宋" w:eastAsia="仿宋"/>
          <w:b w:val="0"/>
          <w:bCs w:val="0"/>
          <w:color w:val="auto"/>
          <w:highlight w:val="none"/>
        </w:rPr>
        <w:t>府性基金预算财政拨款收入支出决算表</w:t>
      </w:r>
      <w:bookmarkEnd w:id="106"/>
    </w:p>
    <w:p>
      <w:pPr>
        <w:pStyle w:val="4"/>
        <w:rPr>
          <w:rFonts w:ascii="仿宋" w:hAnsi="仿宋" w:eastAsia="仿宋"/>
          <w:color w:val="auto"/>
          <w:highlight w:val="none"/>
        </w:rPr>
      </w:pPr>
      <w:bookmarkStart w:id="107" w:name="_Toc15396629"/>
      <w:bookmarkStart w:id="108" w:name="_Toc23023"/>
      <w:r>
        <w:rPr>
          <w:rStyle w:val="28"/>
          <w:rFonts w:hint="eastAsia" w:ascii="仿宋" w:hAnsi="仿宋" w:eastAsia="仿宋"/>
          <w:b w:val="0"/>
          <w:bCs w:val="0"/>
          <w:color w:val="auto"/>
          <w:highlight w:val="none"/>
        </w:rPr>
        <w:t>十一、</w:t>
      </w:r>
      <w:bookmarkEnd w:id="107"/>
      <w:r>
        <w:rPr>
          <w:rFonts w:hint="eastAsia" w:ascii="仿宋" w:hAnsi="仿宋" w:eastAsia="仿宋"/>
          <w:b w:val="0"/>
          <w:color w:val="auto"/>
          <w:highlight w:val="none"/>
        </w:rPr>
        <w:t>国</w:t>
      </w:r>
      <w:r>
        <w:rPr>
          <w:rStyle w:val="28"/>
          <w:rFonts w:hint="eastAsia" w:ascii="仿宋" w:hAnsi="仿宋" w:eastAsia="仿宋"/>
          <w:b w:val="0"/>
          <w:bCs w:val="0"/>
          <w:color w:val="auto"/>
          <w:highlight w:val="none"/>
        </w:rPr>
        <w:t>有资本经营预算</w:t>
      </w:r>
      <w:r>
        <w:rPr>
          <w:rStyle w:val="28"/>
          <w:rFonts w:hint="eastAsia" w:ascii="仿宋" w:hAnsi="仿宋" w:eastAsia="仿宋"/>
          <w:b w:val="0"/>
          <w:bCs w:val="0"/>
          <w:color w:val="auto"/>
          <w:highlight w:val="none"/>
          <w:lang w:eastAsia="zh-CN"/>
        </w:rPr>
        <w:t>财政拨款收入</w:t>
      </w:r>
      <w:r>
        <w:rPr>
          <w:rStyle w:val="28"/>
          <w:rFonts w:hint="eastAsia" w:ascii="仿宋" w:hAnsi="仿宋" w:eastAsia="仿宋"/>
          <w:b w:val="0"/>
          <w:bCs w:val="0"/>
          <w:color w:val="auto"/>
          <w:highlight w:val="none"/>
        </w:rPr>
        <w:t>支出决算表</w:t>
      </w:r>
      <w:bookmarkEnd w:id="108"/>
    </w:p>
    <w:p>
      <w:pPr>
        <w:pStyle w:val="4"/>
        <w:rPr>
          <w:rFonts w:ascii="仿宋" w:hAnsi="仿宋" w:eastAsia="仿宋"/>
          <w:color w:val="auto"/>
          <w:highlight w:val="none"/>
        </w:rPr>
      </w:pPr>
      <w:bookmarkStart w:id="109" w:name="_Toc15396630"/>
      <w:bookmarkStart w:id="110" w:name="_Toc30139"/>
      <w:r>
        <w:rPr>
          <w:rStyle w:val="28"/>
          <w:rFonts w:hint="eastAsia" w:ascii="仿宋" w:hAnsi="仿宋" w:eastAsia="仿宋"/>
          <w:b w:val="0"/>
          <w:bCs w:val="0"/>
          <w:color w:val="auto"/>
          <w:highlight w:val="none"/>
        </w:rPr>
        <w:t>十二、</w:t>
      </w:r>
      <w:bookmarkEnd w:id="109"/>
      <w:r>
        <w:rPr>
          <w:rStyle w:val="28"/>
          <w:rFonts w:hint="eastAsia" w:ascii="仿宋" w:hAnsi="仿宋" w:eastAsia="仿宋"/>
          <w:b w:val="0"/>
          <w:bCs w:val="0"/>
          <w:color w:val="auto"/>
          <w:highlight w:val="none"/>
          <w:lang w:eastAsia="zh-CN"/>
        </w:rPr>
        <w:t>国有资本经营预算财政拨款支出决算表</w:t>
      </w:r>
      <w:bookmarkEnd w:id="110"/>
    </w:p>
    <w:p>
      <w:pPr>
        <w:pStyle w:val="4"/>
        <w:rPr>
          <w:rFonts w:hint="eastAsia" w:eastAsia="仿宋"/>
          <w:color w:val="auto"/>
          <w:highlight w:val="none"/>
          <w:lang w:eastAsia="zh-CN"/>
        </w:rPr>
      </w:pPr>
      <w:bookmarkStart w:id="111" w:name="_Toc15396631"/>
      <w:bookmarkStart w:id="112" w:name="_Toc31891"/>
      <w:r>
        <w:rPr>
          <w:rStyle w:val="28"/>
          <w:rFonts w:hint="eastAsia" w:ascii="仿宋" w:hAnsi="仿宋" w:eastAsia="仿宋"/>
          <w:b w:val="0"/>
          <w:bCs w:val="0"/>
          <w:color w:val="auto"/>
          <w:highlight w:val="none"/>
        </w:rPr>
        <w:t>十三、</w:t>
      </w:r>
      <w:bookmarkEnd w:id="111"/>
      <w:r>
        <w:rPr>
          <w:rStyle w:val="28"/>
          <w:rFonts w:hint="eastAsia" w:ascii="仿宋" w:hAnsi="仿宋" w:eastAsia="仿宋"/>
          <w:b w:val="0"/>
          <w:bCs w:val="0"/>
          <w:color w:val="auto"/>
          <w:highlight w:val="none"/>
          <w:lang w:eastAsia="zh-CN"/>
        </w:rPr>
        <w:t>财政拨款“三公”经费支出决算表</w:t>
      </w:r>
      <w:bookmarkEnd w:id="112"/>
    </w:p>
    <w:sectPr>
      <w:footerReference r:id="rId9" w:type="first"/>
      <w:footerReference r:id="rId8" w:type="default"/>
      <w:pgSz w:w="11906" w:h="16838"/>
      <w:pgMar w:top="1440" w:right="1803" w:bottom="1440" w:left="1803" w:header="851" w:footer="992" w:gutter="0"/>
      <w:paperSrc/>
      <w:pgNumType w:fmt="decimal"/>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94781956"/>
                          </w:sdtPr>
                          <w:sdtContent>
                            <w:p>
                              <w:pPr>
                                <w:pStyle w:val="9"/>
                                <w:jc w:val="center"/>
                              </w:pPr>
                              <w:r>
                                <w:fldChar w:fldCharType="begin"/>
                              </w:r>
                              <w:r>
                                <w:instrText xml:space="preserve">PAGE   \* MERGEFORMAT</w:instrText>
                              </w:r>
                              <w:r>
                                <w:fldChar w:fldCharType="separate"/>
                              </w:r>
                              <w:r>
                                <w:rPr>
                                  <w:lang w:val="zh-CN"/>
                                </w:rPr>
                                <w:t>8</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sdt>
                    <w:sdtPr>
                      <w:id w:val="-1994781956"/>
                    </w:sdtPr>
                    <w:sdtContent>
                      <w:p>
                        <w:pPr>
                          <w:pStyle w:val="9"/>
                          <w:jc w:val="center"/>
                        </w:pPr>
                        <w:r>
                          <w:fldChar w:fldCharType="begin"/>
                        </w:r>
                        <w:r>
                          <w:instrText xml:space="preserve">PAGE   \* MERGEFORMAT</w:instrText>
                        </w:r>
                        <w:r>
                          <w:fldChar w:fldCharType="separate"/>
                        </w:r>
                        <w:r>
                          <w:rPr>
                            <w:lang w:val="zh-CN"/>
                          </w:rPr>
                          <w:t>8</w:t>
                        </w:r>
                        <w:r>
                          <w:fldChar w:fldCharType="end"/>
                        </w:r>
                      </w:p>
                    </w:sdtContent>
                  </w:sdt>
                  <w:p>
                    <w:pPr>
                      <w:pStyle w:val="2"/>
                    </w:pPr>
                  </w:p>
                </w:txbxContent>
              </v:textbox>
            </v:shape>
          </w:pict>
        </mc:Fallback>
      </mc:AlternateContent>
    </w:r>
  </w:p>
  <w:p>
    <w:pPr>
      <w:pStyle w:val="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NjY0Yzc5ZjRkNzc2ODViNzIyNDI0MjE2YTVhNjM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4A6A4F"/>
    <w:rsid w:val="03796B87"/>
    <w:rsid w:val="040F70DB"/>
    <w:rsid w:val="053A62B5"/>
    <w:rsid w:val="06D3380E"/>
    <w:rsid w:val="083D6E1B"/>
    <w:rsid w:val="0A2032A3"/>
    <w:rsid w:val="0B8A37D8"/>
    <w:rsid w:val="0B8C5E7D"/>
    <w:rsid w:val="0EA52BA6"/>
    <w:rsid w:val="0EDC43BE"/>
    <w:rsid w:val="10262C63"/>
    <w:rsid w:val="10C055FF"/>
    <w:rsid w:val="11636936"/>
    <w:rsid w:val="118107EC"/>
    <w:rsid w:val="11DD6519"/>
    <w:rsid w:val="151E48D0"/>
    <w:rsid w:val="162D4D4B"/>
    <w:rsid w:val="16BB723D"/>
    <w:rsid w:val="18015F3F"/>
    <w:rsid w:val="19475CD6"/>
    <w:rsid w:val="1BBE6445"/>
    <w:rsid w:val="1BE8440E"/>
    <w:rsid w:val="1D155CEE"/>
    <w:rsid w:val="20F120B4"/>
    <w:rsid w:val="20F57F95"/>
    <w:rsid w:val="240371BF"/>
    <w:rsid w:val="254F010E"/>
    <w:rsid w:val="25711CC6"/>
    <w:rsid w:val="25C741E6"/>
    <w:rsid w:val="261455E0"/>
    <w:rsid w:val="26C30DB4"/>
    <w:rsid w:val="2761721A"/>
    <w:rsid w:val="27842671"/>
    <w:rsid w:val="29FD04D3"/>
    <w:rsid w:val="2A5904C2"/>
    <w:rsid w:val="2A64640A"/>
    <w:rsid w:val="2ABE7A3E"/>
    <w:rsid w:val="2AF17310"/>
    <w:rsid w:val="2B0100FD"/>
    <w:rsid w:val="2BD13981"/>
    <w:rsid w:val="2CA234A8"/>
    <w:rsid w:val="2EFA178C"/>
    <w:rsid w:val="30B46D73"/>
    <w:rsid w:val="319F7F4E"/>
    <w:rsid w:val="33BA7222"/>
    <w:rsid w:val="34735BC7"/>
    <w:rsid w:val="36940077"/>
    <w:rsid w:val="37C91FA2"/>
    <w:rsid w:val="38147538"/>
    <w:rsid w:val="383D272C"/>
    <w:rsid w:val="39AE70AB"/>
    <w:rsid w:val="3B086F20"/>
    <w:rsid w:val="3B385475"/>
    <w:rsid w:val="3BCD6466"/>
    <w:rsid w:val="3C0C0783"/>
    <w:rsid w:val="3F9F3A96"/>
    <w:rsid w:val="432F7B84"/>
    <w:rsid w:val="44DE5AA0"/>
    <w:rsid w:val="46C95B1B"/>
    <w:rsid w:val="46FF5417"/>
    <w:rsid w:val="48BF60AB"/>
    <w:rsid w:val="491C3C33"/>
    <w:rsid w:val="493C27E9"/>
    <w:rsid w:val="496F39ED"/>
    <w:rsid w:val="49FF41D3"/>
    <w:rsid w:val="4BE068DB"/>
    <w:rsid w:val="4BF6002B"/>
    <w:rsid w:val="4CB81A0A"/>
    <w:rsid w:val="4CC118C9"/>
    <w:rsid w:val="4ECE2238"/>
    <w:rsid w:val="51DB4B86"/>
    <w:rsid w:val="55333C3E"/>
    <w:rsid w:val="563C7C68"/>
    <w:rsid w:val="59F14D15"/>
    <w:rsid w:val="5DC86885"/>
    <w:rsid w:val="5E775EF9"/>
    <w:rsid w:val="5FD41360"/>
    <w:rsid w:val="61616D6A"/>
    <w:rsid w:val="6186668A"/>
    <w:rsid w:val="61AD00BB"/>
    <w:rsid w:val="64CA39A1"/>
    <w:rsid w:val="67A522E7"/>
    <w:rsid w:val="6860162A"/>
    <w:rsid w:val="69630ADE"/>
    <w:rsid w:val="6C4A05C8"/>
    <w:rsid w:val="6D2B458A"/>
    <w:rsid w:val="6D3B1A89"/>
    <w:rsid w:val="6E481A15"/>
    <w:rsid w:val="6F2276CB"/>
    <w:rsid w:val="6F3B4DDA"/>
    <w:rsid w:val="70120C12"/>
    <w:rsid w:val="71BD7C3D"/>
    <w:rsid w:val="71BF4EC2"/>
    <w:rsid w:val="7251239D"/>
    <w:rsid w:val="72734D90"/>
    <w:rsid w:val="7412278C"/>
    <w:rsid w:val="79E7B28D"/>
    <w:rsid w:val="7F9F20EE"/>
    <w:rsid w:val="7FA44454"/>
    <w:rsid w:val="9E3A10E2"/>
    <w:rsid w:val="F2E1F9D4"/>
    <w:rsid w:val="F78808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4"/>
    <w:qFormat/>
    <w:uiPriority w:val="99"/>
    <w:pPr>
      <w:spacing w:beforeLines="30"/>
    </w:pPr>
    <w:rPr>
      <w:rFonts w:ascii="仿宋_GB2312" w:eastAsia="仿宋_GB2312"/>
      <w:kern w:val="0"/>
      <w:sz w:val="30"/>
    </w:rPr>
  </w:style>
  <w:style w:type="paragraph" w:styleId="6">
    <w:name w:val="Body Text Indent"/>
    <w:basedOn w:val="1"/>
    <w:qFormat/>
    <w:uiPriority w:val="0"/>
    <w:pPr>
      <w:ind w:firstLine="600" w:firstLineChars="200"/>
    </w:pPr>
    <w:rPr>
      <w:sz w:val="30"/>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30"/>
    <w:semiHidden/>
    <w:unhideWhenUsed/>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Body Text First Indent 2"/>
    <w:basedOn w:val="6"/>
    <w:qFormat/>
    <w:uiPriority w:val="0"/>
    <w:pPr>
      <w:spacing w:after="120"/>
      <w:ind w:left="420" w:leftChars="200" w:firstLine="420"/>
    </w:pPr>
  </w:style>
  <w:style w:type="character" w:styleId="16">
    <w:name w:val="Strong"/>
    <w:basedOn w:val="15"/>
    <w:qFormat/>
    <w:uiPriority w:val="99"/>
    <w:rPr>
      <w:b/>
    </w:rPr>
  </w:style>
  <w:style w:type="character" w:styleId="17">
    <w:name w:val="Emphasis"/>
    <w:basedOn w:val="15"/>
    <w:qFormat/>
    <w:uiPriority w:val="0"/>
  </w:style>
  <w:style w:type="character" w:styleId="18">
    <w:name w:val="Hyperlink"/>
    <w:basedOn w:val="15"/>
    <w:unhideWhenUsed/>
    <w:qFormat/>
    <w:uiPriority w:val="99"/>
    <w:rPr>
      <w:color w:val="0000FF" w:themeColor="hyperlink"/>
      <w:u w:val="single"/>
      <w14:textFill>
        <w14:solidFill>
          <w14:schemeClr w14:val="hlink"/>
        </w14:solidFill>
      </w14:textFill>
    </w:rPr>
  </w:style>
  <w:style w:type="character" w:customStyle="1" w:styleId="19">
    <w:name w:val="Header Char"/>
    <w:basedOn w:val="15"/>
    <w:semiHidden/>
    <w:qFormat/>
    <w:uiPriority w:val="99"/>
    <w:rPr>
      <w:rFonts w:ascii="Times New Roman" w:hAnsi="Times New Roman"/>
      <w:sz w:val="18"/>
      <w:szCs w:val="18"/>
    </w:rPr>
  </w:style>
  <w:style w:type="character" w:customStyle="1" w:styleId="20">
    <w:name w:val="页眉 Char"/>
    <w:link w:val="10"/>
    <w:semiHidden/>
    <w:qFormat/>
    <w:locked/>
    <w:uiPriority w:val="99"/>
    <w:rPr>
      <w:sz w:val="18"/>
    </w:rPr>
  </w:style>
  <w:style w:type="character" w:customStyle="1" w:styleId="21">
    <w:name w:val="Footer Char"/>
    <w:basedOn w:val="15"/>
    <w:semiHidden/>
    <w:qFormat/>
    <w:uiPriority w:val="99"/>
    <w:rPr>
      <w:rFonts w:ascii="Times New Roman" w:hAnsi="Times New Roman"/>
      <w:sz w:val="18"/>
      <w:szCs w:val="18"/>
    </w:rPr>
  </w:style>
  <w:style w:type="character" w:customStyle="1" w:styleId="22">
    <w:name w:val="页脚 Char"/>
    <w:link w:val="9"/>
    <w:qFormat/>
    <w:locked/>
    <w:uiPriority w:val="99"/>
    <w:rPr>
      <w:sz w:val="18"/>
    </w:rPr>
  </w:style>
  <w:style w:type="character" w:customStyle="1" w:styleId="23">
    <w:name w:val="Body Text Char"/>
    <w:basedOn w:val="15"/>
    <w:semiHidden/>
    <w:qFormat/>
    <w:uiPriority w:val="99"/>
    <w:rPr>
      <w:rFonts w:ascii="Times New Roman" w:hAnsi="Times New Roman"/>
      <w:szCs w:val="24"/>
    </w:rPr>
  </w:style>
  <w:style w:type="character" w:customStyle="1" w:styleId="24">
    <w:name w:val="正文文本 Char"/>
    <w:link w:val="2"/>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Char"/>
    <w:basedOn w:val="15"/>
    <w:link w:val="3"/>
    <w:qFormat/>
    <w:uiPriority w:val="9"/>
    <w:rPr>
      <w:rFonts w:ascii="Times New Roman" w:hAnsi="Times New Roman"/>
      <w:b/>
      <w:bCs/>
      <w:kern w:val="44"/>
      <w:sz w:val="44"/>
      <w:szCs w:val="44"/>
    </w:rPr>
  </w:style>
  <w:style w:type="character" w:customStyle="1" w:styleId="28">
    <w:name w:val="标题 2 Char"/>
    <w:basedOn w:val="15"/>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Char"/>
    <w:basedOn w:val="15"/>
    <w:link w:val="8"/>
    <w:semiHidden/>
    <w:qFormat/>
    <w:uiPriority w:val="99"/>
    <w:rPr>
      <w:rFonts w:ascii="Times New Roman" w:hAnsi="Times New Roman"/>
      <w:kern w:val="2"/>
      <w:sz w:val="18"/>
      <w:szCs w:val="18"/>
    </w:rPr>
  </w:style>
  <w:style w:type="character" w:customStyle="1" w:styleId="31">
    <w:name w:val="标题 3 Char"/>
    <w:basedOn w:val="15"/>
    <w:link w:val="5"/>
    <w:qFormat/>
    <w:uiPriority w:val="9"/>
    <w:rPr>
      <w:rFonts w:ascii="Times New Roman" w:hAnsi="Times New Roman"/>
      <w:b/>
      <w:bCs/>
      <w:kern w:val="2"/>
      <w:sz w:val="32"/>
      <w:szCs w:val="32"/>
    </w:rPr>
  </w:style>
  <w:style w:type="paragraph" w:customStyle="1" w:styleId="32">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3">
    <w:name w:val="NormalCharacter"/>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chart" Target="charts/chart7.xml"/><Relationship Id="rId16" Type="http://schemas.openxmlformats.org/officeDocument/2006/relationships/chart" Target="charts/chart6.xml"/><Relationship Id="rId15" Type="http://schemas.openxmlformats.org/officeDocument/2006/relationships/chart" Target="charts/chart5.xml"/><Relationship Id="rId14" Type="http://schemas.openxmlformats.org/officeDocument/2006/relationships/chart" Target="charts/chart4.xml"/><Relationship Id="rId13" Type="http://schemas.openxmlformats.org/officeDocument/2006/relationships/chart" Target="charts/chart3.xml"/><Relationship Id="rId12" Type="http://schemas.openxmlformats.org/officeDocument/2006/relationships/chart" Target="charts/chart2.xml"/><Relationship Id="rId11" Type="http://schemas.openxmlformats.org/officeDocument/2006/relationships/chart" Target="charts/chart1.xml"/><Relationship Id="rId10" Type="http://schemas.openxmlformats.org/officeDocument/2006/relationships/theme" Target="theme/theme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2.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3.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_rels/chart4.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5.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6.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7.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sz="1400"/>
              <a:t>收、支决算总计</a:t>
            </a:r>
            <a:endParaRPr sz="1400"/>
          </a:p>
          <a:p>
            <a:pPr defTabSz="914400">
              <a:defRPr lang="zh-CN" sz="1400" b="0" i="0" u="none" strike="noStrike" kern="1200" spc="0" baseline="0">
                <a:solidFill>
                  <a:schemeClr val="tx1">
                    <a:lumMod val="65000"/>
                    <a:lumOff val="35000"/>
                  </a:schemeClr>
                </a:solidFill>
                <a:latin typeface="+mn-lt"/>
                <a:ea typeface="+mn-ea"/>
                <a:cs typeface="+mn-cs"/>
              </a:defRPr>
            </a:pPr>
            <a:r>
              <a:rPr sz="1200"/>
              <a:t>（单位：万元）</a:t>
            </a:r>
            <a:endParaRPr sz="120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收、支决算总计</c:v>
                </c:pt>
              </c:strCache>
            </c:strRef>
          </c:tx>
          <c:spPr>
            <a:solidFill>
              <a:schemeClr val="accent1"/>
            </a:solidFill>
            <a:ln>
              <a:noFill/>
            </a:ln>
            <a:effectLst/>
          </c:spPr>
          <c:invertIfNegative val="0"/>
          <c:dLbls>
            <c:delete val="1"/>
          </c:dLbls>
          <c:cat>
            <c:strRef>
              <c:f>Sheet1!$A$2:$A$3</c:f>
              <c:strCache>
                <c:ptCount val="2"/>
                <c:pt idx="0">
                  <c:v>2021年</c:v>
                </c:pt>
                <c:pt idx="1">
                  <c:v>2022年</c:v>
                </c:pt>
              </c:strCache>
            </c:strRef>
          </c:cat>
          <c:val>
            <c:numRef>
              <c:f>Sheet1!$B$2:$B$3</c:f>
              <c:numCache>
                <c:formatCode>General</c:formatCode>
                <c:ptCount val="2"/>
                <c:pt idx="0">
                  <c:v>337.81</c:v>
                </c:pt>
                <c:pt idx="1">
                  <c:v>251.28</c:v>
                </c:pt>
              </c:numCache>
            </c:numRef>
          </c:val>
        </c:ser>
        <c:dLbls>
          <c:showLegendKey val="0"/>
          <c:showVal val="0"/>
          <c:showCatName val="0"/>
          <c:showSerName val="0"/>
          <c:showPercent val="0"/>
          <c:showBubbleSize val="0"/>
        </c:dLbls>
        <c:gapWidth val="219"/>
        <c:overlap val="-27"/>
        <c:axId val="99172189"/>
        <c:axId val="241064730"/>
      </c:barChart>
      <c:catAx>
        <c:axId val="9917218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1064730"/>
        <c:crosses val="autoZero"/>
        <c:auto val="1"/>
        <c:lblAlgn val="ctr"/>
        <c:lblOffset val="100"/>
        <c:noMultiLvlLbl val="0"/>
      </c:catAx>
      <c:valAx>
        <c:axId val="24106473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72189"/>
        <c:crosses val="autoZero"/>
        <c:crossBetween val="between"/>
      </c:valAx>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900"/>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本年收入合计</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Lbls>
            <c:delete val="1"/>
          </c:dLbls>
          <c:cat>
            <c:strRef>
              <c:f>Sheet1!$A$2:$A$9</c:f>
              <c:strCache>
                <c:ptCount val="8"/>
                <c:pt idx="0">
                  <c:v>一般公共预算财政拨款收入</c:v>
                </c:pt>
                <c:pt idx="1">
                  <c:v>政府性基金预算财政拨款收入</c:v>
                </c:pt>
                <c:pt idx="2">
                  <c:v>国有资本经营预算财政拨款收入</c:v>
                </c:pt>
                <c:pt idx="3">
                  <c:v>上级补助收入</c:v>
                </c:pt>
                <c:pt idx="4">
                  <c:v>事业收入</c:v>
                </c:pt>
                <c:pt idx="5">
                  <c:v>经营收入</c:v>
                </c:pt>
                <c:pt idx="6">
                  <c:v>附属单位上缴收入</c:v>
                </c:pt>
                <c:pt idx="7">
                  <c:v>其他收入</c:v>
                </c:pt>
              </c:strCache>
            </c:strRef>
          </c:cat>
          <c:val>
            <c:numRef>
              <c:f>Sheet1!$B$2:$B$9</c:f>
              <c:numCache>
                <c:formatCode>0%</c:formatCode>
                <c:ptCount val="8"/>
                <c:pt idx="0">
                  <c:v>1</c:v>
                </c:pt>
                <c:pt idx="1" c:formatCode="General">
                  <c:v>0</c:v>
                </c:pt>
                <c:pt idx="2" c:formatCode="General">
                  <c:v>0</c:v>
                </c:pt>
                <c:pt idx="3" c:formatCode="General">
                  <c:v>0</c:v>
                </c:pt>
                <c:pt idx="4" c:formatCode="General">
                  <c:v>0</c:v>
                </c:pt>
                <c:pt idx="5" c:formatCode="General">
                  <c:v>0</c:v>
                </c:pt>
                <c:pt idx="6" c:formatCode="General">
                  <c:v>0</c:v>
                </c:pt>
                <c:pt idx="7" c:formatCode="General">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219516348773842"/>
          <c:y val="0.602720854141553"/>
          <c:w val="0.466280653950954"/>
          <c:h val="0.39211296710866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支出决算结构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elete val="1"/>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0.00%</c:formatCode>
                <c:ptCount val="5"/>
                <c:pt idx="0">
                  <c:v>0.852</c:v>
                </c:pt>
                <c:pt idx="1">
                  <c:v>0.148</c:v>
                </c:pt>
                <c:pt idx="2" c:formatCode="General">
                  <c:v>0</c:v>
                </c:pt>
                <c:pt idx="3" c:formatCode="General">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财政拨款收、支决算总计</a:t>
            </a:r>
          </a:p>
          <a:p>
            <a:pPr defTabSz="914400">
              <a:defRPr lang="zh-CN" sz="1400" b="0" i="0" u="none" strike="noStrike" kern="1200" spc="0" baseline="0">
                <a:solidFill>
                  <a:schemeClr val="tx1">
                    <a:lumMod val="65000"/>
                    <a:lumOff val="35000"/>
                  </a:schemeClr>
                </a:solidFill>
                <a:latin typeface="+mn-lt"/>
                <a:ea typeface="+mn-ea"/>
                <a:cs typeface="+mn-cs"/>
              </a:defRPr>
            </a:pPr>
            <a:r>
              <a:t>（单位：万元）</a:t>
            </a:r>
          </a:p>
        </c:rich>
      </c:tx>
      <c:layout>
        <c:manualLayout>
          <c:xMode val="edge"/>
          <c:yMode val="edge"/>
          <c:x val="0.208356391809629"/>
          <c:y val="0.0312418640978912"/>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财政拨款收、支决算总计</c:v>
                </c:pt>
              </c:strCache>
            </c:strRef>
          </c:tx>
          <c:spPr>
            <a:solidFill>
              <a:schemeClr val="accent1"/>
            </a:solidFill>
            <a:ln>
              <a:noFill/>
            </a:ln>
            <a:effectLst/>
          </c:spPr>
          <c:invertIfNegative val="0"/>
          <c:dLbls>
            <c:delete val="1"/>
          </c:dLbls>
          <c:cat>
            <c:strRef>
              <c:f>Sheet1!$A$2:$A$3</c:f>
              <c:strCache>
                <c:ptCount val="2"/>
                <c:pt idx="0">
                  <c:v>2021年</c:v>
                </c:pt>
                <c:pt idx="1">
                  <c:v>2022年</c:v>
                </c:pt>
              </c:strCache>
            </c:strRef>
          </c:cat>
          <c:val>
            <c:numRef>
              <c:f>Sheet1!$B$2:$B$3</c:f>
              <c:numCache>
                <c:formatCode>General</c:formatCode>
                <c:ptCount val="2"/>
                <c:pt idx="0">
                  <c:v>337.81</c:v>
                </c:pt>
                <c:pt idx="1">
                  <c:v>251.28</c:v>
                </c:pt>
              </c:numCache>
            </c:numRef>
          </c:val>
        </c:ser>
        <c:dLbls>
          <c:showLegendKey val="0"/>
          <c:showVal val="0"/>
          <c:showCatName val="0"/>
          <c:showSerName val="0"/>
          <c:showPercent val="0"/>
          <c:showBubbleSize val="0"/>
        </c:dLbls>
        <c:gapWidth val="219"/>
        <c:overlap val="-27"/>
        <c:axId val="99172189"/>
        <c:axId val="241064730"/>
      </c:barChart>
      <c:catAx>
        <c:axId val="9917218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1064730"/>
        <c:crosses val="autoZero"/>
        <c:auto val="1"/>
        <c:lblAlgn val="ctr"/>
        <c:lblOffset val="100"/>
        <c:noMultiLvlLbl val="0"/>
      </c:catAx>
      <c:valAx>
        <c:axId val="24106473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72189"/>
        <c:crosses val="autoZero"/>
        <c:crossBetween val="between"/>
      </c:valAx>
      <c:spPr>
        <a:noFill/>
        <a:ln>
          <a:noFill/>
        </a:ln>
        <a:effectLst/>
      </c:spPr>
    </c:plotArea>
    <c:legend>
      <c:legendPos val="b"/>
      <c:layout>
        <c:manualLayout>
          <c:xMode val="edge"/>
          <c:yMode val="edge"/>
          <c:x val="0.287493082457111"/>
          <c:y val="0.88206196303046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a:t>
            </a:r>
          </a:p>
          <a:p>
            <a:pPr defTabSz="914400">
              <a:defRPr lang="zh-CN" sz="1400" b="0" i="0" u="none" strike="noStrike" kern="1200" spc="0" baseline="0">
                <a:solidFill>
                  <a:schemeClr val="tx1">
                    <a:lumMod val="65000"/>
                    <a:lumOff val="35000"/>
                  </a:schemeClr>
                </a:solidFill>
                <a:latin typeface="+mn-lt"/>
                <a:ea typeface="+mn-ea"/>
                <a:cs typeface="+mn-cs"/>
              </a:defRPr>
            </a:pPr>
            <a:r>
              <a:t>（单位：万元）</a:t>
            </a:r>
          </a:p>
        </c:rich>
      </c:tx>
      <c:layout>
        <c:manualLayout>
          <c:xMode val="edge"/>
          <c:yMode val="edge"/>
          <c:x val="0.208356391809629"/>
          <c:y val="0.0312418640978912"/>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一般公共预算财政拨款支出</c:v>
                </c:pt>
              </c:strCache>
            </c:strRef>
          </c:tx>
          <c:spPr>
            <a:solidFill>
              <a:schemeClr val="accent1"/>
            </a:solidFill>
            <a:ln>
              <a:noFill/>
            </a:ln>
            <a:effectLst/>
          </c:spPr>
          <c:invertIfNegative val="0"/>
          <c:dLbls>
            <c:delete val="1"/>
          </c:dLbls>
          <c:cat>
            <c:strRef>
              <c:f>Sheet1!$A$2:$A$3</c:f>
              <c:strCache>
                <c:ptCount val="2"/>
                <c:pt idx="0">
                  <c:v>2021年</c:v>
                </c:pt>
                <c:pt idx="1">
                  <c:v>2022年</c:v>
                </c:pt>
              </c:strCache>
            </c:strRef>
          </c:cat>
          <c:val>
            <c:numRef>
              <c:f>Sheet1!$B$2:$B$3</c:f>
              <c:numCache>
                <c:formatCode>General</c:formatCode>
                <c:ptCount val="2"/>
                <c:pt idx="0">
                  <c:v>337.81</c:v>
                </c:pt>
                <c:pt idx="1">
                  <c:v>251.28</c:v>
                </c:pt>
              </c:numCache>
            </c:numRef>
          </c:val>
        </c:ser>
        <c:dLbls>
          <c:showLegendKey val="0"/>
          <c:showVal val="0"/>
          <c:showCatName val="0"/>
          <c:showSerName val="0"/>
          <c:showPercent val="0"/>
          <c:showBubbleSize val="0"/>
        </c:dLbls>
        <c:gapWidth val="219"/>
        <c:overlap val="-27"/>
        <c:axId val="99172189"/>
        <c:axId val="241064730"/>
      </c:barChart>
      <c:catAx>
        <c:axId val="9917218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1064730"/>
        <c:crosses val="autoZero"/>
        <c:auto val="1"/>
        <c:lblAlgn val="ctr"/>
        <c:lblOffset val="100"/>
        <c:noMultiLvlLbl val="0"/>
      </c:catAx>
      <c:valAx>
        <c:axId val="24106473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72189"/>
        <c:crosses val="autoZero"/>
        <c:crossBetween val="between"/>
      </c:valAx>
      <c:spPr>
        <a:noFill/>
        <a:ln>
          <a:noFill/>
        </a:ln>
        <a:effectLst/>
      </c:spPr>
    </c:plotArea>
    <c:legend>
      <c:legendPos val="b"/>
      <c:layout>
        <c:manualLayout>
          <c:xMode val="edge"/>
          <c:yMode val="edge"/>
          <c:x val="0.287493082457111"/>
          <c:y val="0.88206196303046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delete val="1"/>
          </c:dLbls>
          <c:cat>
            <c:strRef>
              <c:f>Sheet1!$A$2:$A$8</c:f>
              <c:strCache>
                <c:ptCount val="7"/>
                <c:pt idx="0">
                  <c:v>一般公共服务支出</c:v>
                </c:pt>
                <c:pt idx="1">
                  <c:v>教育支出</c:v>
                </c:pt>
                <c:pt idx="2">
                  <c:v>科学技术支出</c:v>
                </c:pt>
                <c:pt idx="3">
                  <c:v>文化旅游体育与传媒支出</c:v>
                </c:pt>
                <c:pt idx="4">
                  <c:v>社会保障和就业支出</c:v>
                </c:pt>
                <c:pt idx="5">
                  <c:v>卫生健康支出</c:v>
                </c:pt>
                <c:pt idx="6">
                  <c:v>住房保障支出</c:v>
                </c:pt>
              </c:strCache>
            </c:strRef>
          </c:cat>
          <c:val>
            <c:numRef>
              <c:f>Sheet1!$B$2:$B$8</c:f>
              <c:numCache>
                <c:formatCode>0.00%</c:formatCode>
                <c:ptCount val="7"/>
                <c:pt idx="0">
                  <c:v>0.711</c:v>
                </c:pt>
                <c:pt idx="1">
                  <c:v>0.001</c:v>
                </c:pt>
                <c:pt idx="2">
                  <c:v>0.148</c:v>
                </c:pt>
                <c:pt idx="3" c:formatCode="General">
                  <c:v>0</c:v>
                </c:pt>
                <c:pt idx="4">
                  <c:v>0.046</c:v>
                </c:pt>
                <c:pt idx="5">
                  <c:v>0.042</c:v>
                </c:pt>
                <c:pt idx="6">
                  <c:v>0.052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110568878973787"/>
          <c:y val="0.701462930820729"/>
          <c:w val="0.843976575571668"/>
          <c:h val="0.2417555169848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三公经费</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elete val="1"/>
          </c:dLbls>
          <c:cat>
            <c:strRef>
              <c:f>Sheet1!$A$2:$A$4</c:f>
              <c:strCache>
                <c:ptCount val="3"/>
                <c:pt idx="0">
                  <c:v>因公出国（境）费</c:v>
                </c:pt>
                <c:pt idx="1">
                  <c:v>公务用车购置及运行维护费</c:v>
                </c:pt>
                <c:pt idx="2">
                  <c:v>公务接待费</c:v>
                </c:pt>
              </c:strCache>
            </c:strRef>
          </c:cat>
          <c:val>
            <c:numRef>
              <c:f>Sheet1!$B$2:$B$4</c:f>
              <c:numCache>
                <c:formatCode>General</c:formatCode>
                <c:ptCount val="3"/>
                <c:pt idx="0">
                  <c:v>0</c:v>
                </c:pt>
                <c:pt idx="1" c:formatCode="0.00%">
                  <c:v>0.681</c:v>
                </c:pt>
                <c:pt idx="2" c:formatCode="0.00%">
                  <c:v>0.319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20</Pages>
  <Words>6044</Words>
  <Characters>6544</Characters>
  <Lines>61</Lines>
  <Paragraphs>17</Paragraphs>
  <TotalTime>11</TotalTime>
  <ScaleCrop>false</ScaleCrop>
  <LinksUpToDate>false</LinksUpToDate>
  <CharactersWithSpaces>6765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2020-08-05T01:49:00Z</dcterms:created>
  <dc:creator>曹颖</dc:creator>
  <cp:lastModifiedBy>Administrator</cp:lastModifiedBy>
  <cp:lastPrinted>2023-07-31T02:35:00Z</cp:lastPrinted>
  <dcterms:modified xsi:type="dcterms:W3CDTF">2023-09-14T12:11:04Z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7A0AD984027942FFB742AC93FC08E784_12</vt:lpwstr>
  </property>
</Properties>
</file>