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bookmarkStart w:id="0" w:name="_Toc15306267"/>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p>
    <w:p>
      <w:pPr>
        <w:adjustRightInd w:val="0"/>
        <w:snapToGrid w:val="0"/>
        <w:spacing w:line="360" w:lineRule="auto"/>
        <w:jc w:val="center"/>
        <w:outlineLvl w:val="0"/>
        <w:rPr>
          <w:rFonts w:hint="default" w:ascii="方正小标宋简体" w:hAnsi="方正小标宋简体" w:eastAsia="方正小标宋简体" w:cs="方正小标宋简体"/>
          <w:color w:val="auto"/>
          <w:sz w:val="72"/>
          <w:szCs w:val="72"/>
          <w:highlight w:val="none"/>
          <w:lang w:val="en-US" w:eastAsia="zh-CN"/>
        </w:rPr>
      </w:pPr>
      <w:r>
        <w:rPr>
          <w:rFonts w:hint="eastAsia" w:ascii="方正小标宋简体" w:hAnsi="方正小标宋简体" w:eastAsia="方正小标宋简体" w:cs="方正小标宋简体"/>
          <w:color w:val="auto"/>
          <w:sz w:val="72"/>
          <w:szCs w:val="72"/>
          <w:highlight w:val="none"/>
          <w:lang w:val="en-US" w:eastAsia="zh-CN"/>
        </w:rPr>
        <w:t>内江市科技服务中心</w:t>
      </w: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1" w:name="_Toc15377193"/>
      <w:bookmarkStart w:id="2" w:name="_Toc15396475"/>
      <w:bookmarkStart w:id="3" w:name="_Toc15396597"/>
      <w:bookmarkStart w:id="4" w:name="_Toc13912"/>
      <w:bookmarkStart w:id="5" w:name="_Toc15377425"/>
      <w:bookmarkStart w:id="6" w:name="_Toc15378441"/>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22</w:t>
      </w:r>
      <w:r>
        <w:rPr>
          <w:rFonts w:hint="eastAsia" w:ascii="方正小标宋简体" w:hAnsi="方正小标宋简体" w:eastAsia="方正小标宋简体" w:cs="方正小标宋简体"/>
          <w:color w:val="auto"/>
          <w:sz w:val="72"/>
          <w:szCs w:val="72"/>
          <w:highlight w:val="none"/>
        </w:rPr>
        <w:t>年度</w:t>
      </w:r>
      <w:bookmarkEnd w:id="1"/>
      <w:bookmarkEnd w:id="2"/>
      <w:bookmarkEnd w:id="3"/>
      <w:bookmarkEnd w:id="4"/>
      <w:bookmarkEnd w:id="5"/>
      <w:bookmarkEnd w:id="6"/>
    </w:p>
    <w:bookmarkEnd w:id="0"/>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val="en-US" w:eastAsia="zh-CN"/>
        </w:rPr>
      </w:pPr>
      <w:bookmarkStart w:id="7" w:name="_Toc15377194"/>
      <w:bookmarkStart w:id="8" w:name="_Toc15378442"/>
      <w:bookmarkStart w:id="9" w:name="_Toc15396598"/>
      <w:bookmarkStart w:id="10" w:name="_Toc15396476"/>
      <w:bookmarkStart w:id="11" w:name="_Toc15377426"/>
      <w:bookmarkStart w:id="12" w:name="_Toc15306268"/>
      <w:bookmarkStart w:id="13" w:name="_Toc8137"/>
      <w:r>
        <w:rPr>
          <w:rFonts w:hint="eastAsia" w:ascii="方正小标宋简体" w:hAnsi="方正小标宋简体" w:eastAsia="方正小标宋简体" w:cs="方正小标宋简体"/>
          <w:color w:val="auto"/>
          <w:sz w:val="72"/>
          <w:szCs w:val="72"/>
          <w:highlight w:val="none"/>
          <w:lang w:eastAsia="zh-CN"/>
        </w:rPr>
        <w:t>单位</w:t>
      </w:r>
      <w:r>
        <w:rPr>
          <w:rFonts w:hint="eastAsia" w:ascii="方正小标宋简体" w:hAnsi="方正小标宋简体" w:eastAsia="方正小标宋简体" w:cs="方正小标宋简体"/>
          <w:color w:val="auto"/>
          <w:sz w:val="72"/>
          <w:szCs w:val="72"/>
          <w:highlight w:val="none"/>
        </w:rPr>
        <w:t>决算</w:t>
      </w:r>
      <w:bookmarkEnd w:id="7"/>
      <w:bookmarkEnd w:id="8"/>
      <w:bookmarkEnd w:id="9"/>
      <w:bookmarkEnd w:id="10"/>
      <w:bookmarkEnd w:id="11"/>
      <w:bookmarkEnd w:id="12"/>
      <w:r>
        <w:rPr>
          <w:rFonts w:hint="eastAsia" w:ascii="方正小标宋简体" w:hAnsi="方正小标宋简体" w:eastAsia="方正小标宋简体" w:cs="方正小标宋简体"/>
          <w:color w:val="auto"/>
          <w:sz w:val="72"/>
          <w:szCs w:val="72"/>
          <w:highlight w:val="none"/>
          <w:lang w:eastAsia="zh-CN"/>
        </w:rPr>
        <w:t>编制说明</w:t>
      </w:r>
      <w:bookmarkEnd w:id="13"/>
    </w:p>
    <w:p>
      <w:pPr>
        <w:widowControl/>
        <w:jc w:val="center"/>
        <w:rPr>
          <w:rFonts w:ascii="黑体" w:hAnsi="黑体" w:eastAsia="黑体" w:cstheme="minorBidi"/>
          <w:color w:val="auto"/>
          <w:sz w:val="28"/>
          <w:szCs w:val="28"/>
          <w:highlight w:val="none"/>
        </w:rPr>
      </w:pPr>
      <w:r>
        <w:rPr>
          <w:rFonts w:ascii="方正小标宋简体" w:hAnsi="宋体" w:eastAsia="方正小标宋简体"/>
          <w:color w:val="auto"/>
          <w:sz w:val="36"/>
          <w:szCs w:val="36"/>
          <w:highlight w:val="none"/>
        </w:rPr>
        <w:br w:type="page"/>
      </w:r>
      <w:r>
        <w:rPr>
          <w:rFonts w:hint="eastAsia" w:ascii="黑体" w:hAnsi="黑体" w:eastAsia="黑体"/>
          <w:color w:val="auto"/>
          <w:sz w:val="48"/>
          <w:szCs w:val="48"/>
          <w:highlight w:val="none"/>
        </w:rPr>
        <w:t>目</w:t>
      </w:r>
      <w:r>
        <w:rPr>
          <w:rFonts w:hint="eastAsia" w:ascii="黑体" w:hAnsi="黑体" w:eastAsia="黑体"/>
          <w:color w:val="auto"/>
          <w:sz w:val="48"/>
          <w:szCs w:val="48"/>
          <w:highlight w:val="none"/>
          <w:lang w:val="en-US" w:eastAsia="zh-CN"/>
        </w:rPr>
        <w:t xml:space="preserve">  </w:t>
      </w:r>
      <w:r>
        <w:rPr>
          <w:rFonts w:hint="eastAsia" w:ascii="黑体" w:hAnsi="黑体" w:eastAsia="黑体"/>
          <w:color w:val="auto"/>
          <w:sz w:val="48"/>
          <w:szCs w:val="48"/>
          <w:highlight w:val="none"/>
        </w:rPr>
        <w:t>录</w:t>
      </w:r>
    </w:p>
    <w:p>
      <w:pPr>
        <w:pStyle w:val="11"/>
        <w:rPr>
          <w:color w:val="auto"/>
          <w:highlight w:val="none"/>
        </w:rPr>
      </w:pPr>
      <w:r>
        <w:rPr>
          <w:rFonts w:hint="eastAsia"/>
          <w:color w:val="auto"/>
          <w:highlight w:val="none"/>
        </w:rPr>
        <w:t>公开时间：20</w:t>
      </w:r>
      <w:r>
        <w:rPr>
          <w:rFonts w:hint="eastAsia"/>
          <w:color w:val="auto"/>
          <w:highlight w:val="none"/>
          <w:lang w:val="en-US" w:eastAsia="zh-CN"/>
        </w:rPr>
        <w:t>23</w:t>
      </w:r>
      <w:r>
        <w:rPr>
          <w:rFonts w:hint="eastAsia"/>
          <w:color w:val="auto"/>
          <w:highlight w:val="none"/>
        </w:rPr>
        <w:t>年</w:t>
      </w:r>
      <w:r>
        <w:rPr>
          <w:rFonts w:hint="eastAsia"/>
          <w:color w:val="auto"/>
          <w:highlight w:val="none"/>
          <w:lang w:val="en-US" w:eastAsia="zh-CN"/>
        </w:rPr>
        <w:t>9</w:t>
      </w:r>
      <w:r>
        <w:rPr>
          <w:rFonts w:hint="eastAsia"/>
          <w:color w:val="auto"/>
          <w:highlight w:val="none"/>
        </w:rPr>
        <w:t>月</w:t>
      </w:r>
      <w:r>
        <w:rPr>
          <w:rFonts w:hint="eastAsia"/>
          <w:color w:val="auto"/>
          <w:highlight w:val="none"/>
          <w:lang w:val="en-US" w:eastAsia="zh-CN"/>
        </w:rPr>
        <w:t>22</w:t>
      </w:r>
      <w:r>
        <w:rPr>
          <w:rFonts w:hint="eastAsia"/>
          <w:color w:val="auto"/>
          <w:highlight w:val="none"/>
        </w:rPr>
        <w:t>日</w:t>
      </w:r>
    </w:p>
    <w:p>
      <w:pPr>
        <w:spacing w:before="0" w:beforeLines="0" w:after="0" w:afterLines="0" w:line="240" w:lineRule="auto"/>
        <w:ind w:left="0" w:leftChars="0" w:right="0" w:rightChars="0" w:firstLine="0" w:firstLineChars="0"/>
        <w:jc w:val="center"/>
        <w:rPr>
          <w:rFonts w:hint="eastAsia" w:ascii="宋体" w:hAnsi="宋体" w:eastAsia="宋体" w:cs="Times New Roman"/>
          <w:b/>
          <w:bCs/>
          <w:kern w:val="2"/>
          <w:sz w:val="21"/>
          <w:szCs w:val="24"/>
          <w:highlight w:val="yellow"/>
          <w:lang w:val="en-US" w:eastAsia="zh-CN" w:bidi="ar-SA"/>
        </w:rPr>
      </w:pPr>
      <w:bookmarkStart w:id="14" w:name="_Toc15396599"/>
      <w:bookmarkStart w:id="15" w:name="_Toc15377196"/>
    </w:p>
    <w:sdt>
      <w:sdtPr>
        <w:rPr>
          <w:rFonts w:ascii="宋体" w:hAnsi="宋体" w:eastAsia="宋体" w:cs="Times New Roman"/>
          <w:kern w:val="2"/>
          <w:sz w:val="21"/>
          <w:szCs w:val="24"/>
          <w:lang w:val="en-US" w:eastAsia="zh-CN" w:bidi="ar-SA"/>
        </w:rPr>
        <w:id w:val="147462218"/>
        <w15:color w:val="DBDBDB"/>
        <w:docPartObj>
          <w:docPartGallery w:val="Table of Contents"/>
          <w:docPartUnique/>
        </w:docPartObj>
      </w:sdtPr>
      <w:sdtEndPr>
        <w:rPr>
          <w:rFonts w:ascii="宋体" w:hAnsi="宋体"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11"/>
            <w:tabs>
              <w:tab w:val="right" w:leader="dot" w:pos="8306"/>
              <w:tab w:val="clear" w:pos="8296"/>
            </w:tabs>
            <w:jc w:val="both"/>
          </w:pPr>
          <w:r>
            <w:fldChar w:fldCharType="begin"/>
          </w:r>
          <w:r>
            <w:instrText xml:space="preserve">TOC \o "1-3" \h \u </w:instrText>
          </w:r>
          <w:r>
            <w:fldChar w:fldCharType="separate"/>
          </w:r>
          <w:r>
            <w:fldChar w:fldCharType="begin"/>
          </w:r>
          <w:r>
            <w:instrText xml:space="preserve"> HYPERLINK \l _Toc24 </w:instrText>
          </w:r>
          <w:r>
            <w:fldChar w:fldCharType="separate"/>
          </w:r>
          <w:r>
            <w:rPr>
              <w:rFonts w:hint="eastAsia" w:ascii="黑体" w:hAnsi="黑体" w:eastAsia="黑体"/>
              <w:highlight w:val="none"/>
            </w:rPr>
            <w:t xml:space="preserve">第一部分 </w:t>
          </w:r>
          <w:r>
            <w:rPr>
              <w:rFonts w:hint="eastAsia" w:ascii="黑体" w:hAnsi="黑体" w:eastAsia="黑体"/>
              <w:highlight w:val="none"/>
              <w:lang w:eastAsia="zh-CN"/>
            </w:rPr>
            <w:t>单位</w:t>
          </w:r>
          <w:r>
            <w:rPr>
              <w:rFonts w:hint="eastAsia" w:ascii="黑体" w:hAnsi="黑体" w:eastAsia="黑体"/>
              <w:bCs w:val="0"/>
              <w:highlight w:val="none"/>
            </w:rPr>
            <w:t>概况</w:t>
          </w:r>
          <w:r>
            <w:tab/>
          </w:r>
          <w:r>
            <w:fldChar w:fldCharType="begin"/>
          </w:r>
          <w:r>
            <w:instrText xml:space="preserve"> PAGEREF _Toc24 \h </w:instrText>
          </w:r>
          <w:r>
            <w:fldChar w:fldCharType="separate"/>
          </w:r>
          <w:r>
            <w:t>3</w:t>
          </w:r>
          <w:r>
            <w:fldChar w:fldCharType="end"/>
          </w:r>
          <w:r>
            <w:fldChar w:fldCharType="end"/>
          </w:r>
        </w:p>
        <w:p>
          <w:pPr>
            <w:pStyle w:val="12"/>
            <w:tabs>
              <w:tab w:val="right" w:leader="dot" w:pos="8306"/>
              <w:tab w:val="clear" w:pos="8296"/>
            </w:tabs>
          </w:pPr>
          <w:r>
            <w:fldChar w:fldCharType="begin"/>
          </w:r>
          <w:r>
            <w:instrText xml:space="preserve"> HYPERLINK \l _Toc20470 </w:instrText>
          </w:r>
          <w:r>
            <w:fldChar w:fldCharType="separate"/>
          </w:r>
          <w:r>
            <w:rPr>
              <w:rFonts w:hint="eastAsia" w:ascii="黑体" w:hAnsi="黑体" w:eastAsia="黑体"/>
              <w:bCs w:val="0"/>
              <w:lang w:eastAsia="zh-CN"/>
            </w:rPr>
            <w:t xml:space="preserve">一、 </w:t>
          </w:r>
          <w:r>
            <w:rPr>
              <w:rFonts w:hint="eastAsia" w:ascii="黑体" w:hAnsi="黑体" w:eastAsia="黑体"/>
              <w:bCs w:val="0"/>
              <w:highlight w:val="none"/>
              <w:lang w:eastAsia="zh-CN"/>
            </w:rPr>
            <w:t>主要职责</w:t>
          </w:r>
          <w:r>
            <w:tab/>
          </w:r>
          <w:r>
            <w:fldChar w:fldCharType="begin"/>
          </w:r>
          <w:r>
            <w:instrText xml:space="preserve"> PAGEREF _Toc20470 \h </w:instrText>
          </w:r>
          <w:r>
            <w:fldChar w:fldCharType="separate"/>
          </w:r>
          <w:r>
            <w:t>3</w:t>
          </w:r>
          <w:r>
            <w:fldChar w:fldCharType="end"/>
          </w:r>
          <w:r>
            <w:fldChar w:fldCharType="end"/>
          </w:r>
        </w:p>
        <w:p>
          <w:pPr>
            <w:pStyle w:val="12"/>
            <w:tabs>
              <w:tab w:val="right" w:leader="dot" w:pos="8306"/>
              <w:tab w:val="clear" w:pos="8296"/>
            </w:tabs>
          </w:pPr>
          <w:r>
            <w:fldChar w:fldCharType="begin"/>
          </w:r>
          <w:r>
            <w:instrText xml:space="preserve"> HYPERLINK \l _Toc31214 </w:instrText>
          </w:r>
          <w:r>
            <w:fldChar w:fldCharType="separate"/>
          </w:r>
          <w:r>
            <w:rPr>
              <w:rFonts w:hint="eastAsia" w:ascii="黑体" w:hAnsi="黑体" w:eastAsia="黑体"/>
              <w:highlight w:val="none"/>
              <w:lang w:val="en-US" w:eastAsia="zh-CN"/>
            </w:rPr>
            <w:t>二、机构设置</w:t>
          </w:r>
          <w:r>
            <w:tab/>
          </w:r>
          <w:r>
            <w:fldChar w:fldCharType="begin"/>
          </w:r>
          <w:r>
            <w:instrText xml:space="preserve"> PAGEREF _Toc31214 \h </w:instrText>
          </w:r>
          <w:r>
            <w:fldChar w:fldCharType="separate"/>
          </w:r>
          <w:r>
            <w:t>3</w:t>
          </w:r>
          <w:r>
            <w:fldChar w:fldCharType="end"/>
          </w:r>
          <w:r>
            <w:fldChar w:fldCharType="end"/>
          </w:r>
        </w:p>
        <w:p>
          <w:pPr>
            <w:pStyle w:val="11"/>
            <w:tabs>
              <w:tab w:val="right" w:leader="dot" w:pos="8306"/>
              <w:tab w:val="clear" w:pos="8296"/>
            </w:tabs>
          </w:pPr>
          <w:r>
            <w:fldChar w:fldCharType="begin"/>
          </w:r>
          <w:r>
            <w:instrText xml:space="preserve"> HYPERLINK \l _Toc11138 </w:instrText>
          </w:r>
          <w:r>
            <w:fldChar w:fldCharType="separate"/>
          </w:r>
          <w:r>
            <w:rPr>
              <w:rFonts w:hint="eastAsia" w:ascii="黑体" w:hAnsi="黑体" w:eastAsia="黑体"/>
              <w:bCs/>
              <w:highlight w:val="none"/>
            </w:rPr>
            <w:t xml:space="preserve">第二部分 </w:t>
          </w:r>
          <w:r>
            <w:rPr>
              <w:rFonts w:hint="eastAsia" w:ascii="黑体" w:hAnsi="黑体" w:eastAsia="黑体"/>
              <w:bCs/>
              <w:highlight w:val="none"/>
              <w:lang w:val="en-US" w:eastAsia="zh-CN"/>
            </w:rPr>
            <w:t>2022年度</w:t>
          </w:r>
          <w:r>
            <w:rPr>
              <w:rFonts w:hint="eastAsia" w:ascii="黑体" w:hAnsi="黑体" w:eastAsia="黑体"/>
              <w:bCs/>
              <w:highlight w:val="none"/>
              <w:lang w:eastAsia="zh-CN"/>
            </w:rPr>
            <w:t>单位</w:t>
          </w:r>
          <w:r>
            <w:rPr>
              <w:rFonts w:hint="eastAsia" w:ascii="黑体" w:hAnsi="黑体" w:eastAsia="黑体"/>
              <w:bCs/>
              <w:highlight w:val="none"/>
            </w:rPr>
            <w:t>决算情况说明</w:t>
          </w:r>
          <w:r>
            <w:tab/>
          </w:r>
          <w:r>
            <w:fldChar w:fldCharType="begin"/>
          </w:r>
          <w:r>
            <w:instrText xml:space="preserve"> PAGEREF _Toc11138 \h </w:instrText>
          </w:r>
          <w:r>
            <w:fldChar w:fldCharType="separate"/>
          </w:r>
          <w:r>
            <w:t>4</w:t>
          </w:r>
          <w:r>
            <w:fldChar w:fldCharType="end"/>
          </w:r>
          <w:r>
            <w:fldChar w:fldCharType="end"/>
          </w:r>
        </w:p>
        <w:p>
          <w:pPr>
            <w:pStyle w:val="12"/>
            <w:tabs>
              <w:tab w:val="right" w:leader="dot" w:pos="8306"/>
              <w:tab w:val="clear" w:pos="8296"/>
            </w:tabs>
          </w:pPr>
          <w:r>
            <w:fldChar w:fldCharType="begin"/>
          </w:r>
          <w:r>
            <w:instrText xml:space="preserve"> HYPERLINK \l _Toc21442 </w:instrText>
          </w:r>
          <w:r>
            <w:fldChar w:fldCharType="separate"/>
          </w:r>
          <w:r>
            <w:rPr>
              <w:rFonts w:hint="default" w:ascii="黑体" w:hAnsi="黑体" w:eastAsia="黑体"/>
            </w:rPr>
            <w:t xml:space="preserve">一、 </w:t>
          </w:r>
          <w:r>
            <w:rPr>
              <w:rFonts w:hint="eastAsia" w:ascii="黑体" w:hAnsi="黑体" w:eastAsia="黑体"/>
              <w:szCs w:val="32"/>
              <w:highlight w:val="none"/>
            </w:rPr>
            <w:t>收</w:t>
          </w:r>
          <w:r>
            <w:rPr>
              <w:rFonts w:hint="eastAsia" w:ascii="黑体" w:hAnsi="黑体" w:eastAsia="黑体"/>
              <w:highlight w:val="none"/>
            </w:rPr>
            <w:t>入支出决算总体情况说明</w:t>
          </w:r>
          <w:r>
            <w:tab/>
          </w:r>
          <w:r>
            <w:fldChar w:fldCharType="begin"/>
          </w:r>
          <w:r>
            <w:instrText xml:space="preserve"> PAGEREF _Toc21442 \h </w:instrText>
          </w:r>
          <w:r>
            <w:fldChar w:fldCharType="separate"/>
          </w:r>
          <w:r>
            <w:t>4</w:t>
          </w:r>
          <w:r>
            <w:fldChar w:fldCharType="end"/>
          </w:r>
          <w:r>
            <w:fldChar w:fldCharType="end"/>
          </w:r>
        </w:p>
        <w:p>
          <w:pPr>
            <w:pStyle w:val="12"/>
            <w:tabs>
              <w:tab w:val="right" w:leader="dot" w:pos="8306"/>
              <w:tab w:val="clear" w:pos="8296"/>
            </w:tabs>
          </w:pPr>
          <w:r>
            <w:fldChar w:fldCharType="begin"/>
          </w:r>
          <w:r>
            <w:instrText xml:space="preserve"> HYPERLINK \l _Toc446 </w:instrText>
          </w:r>
          <w:r>
            <w:fldChar w:fldCharType="separate"/>
          </w:r>
          <w:r>
            <w:rPr>
              <w:rFonts w:hint="default" w:ascii="黑体" w:hAnsi="黑体" w:eastAsia="黑体"/>
            </w:rPr>
            <w:t xml:space="preserve">二、 </w:t>
          </w:r>
          <w:r>
            <w:rPr>
              <w:rFonts w:hint="eastAsia" w:ascii="黑体" w:hAnsi="黑体" w:eastAsia="黑体"/>
              <w:szCs w:val="32"/>
              <w:highlight w:val="none"/>
            </w:rPr>
            <w:t>收</w:t>
          </w:r>
          <w:r>
            <w:rPr>
              <w:rFonts w:hint="eastAsia" w:ascii="黑体" w:hAnsi="黑体" w:eastAsia="黑体"/>
              <w:highlight w:val="none"/>
            </w:rPr>
            <w:t>入决算情况说明</w:t>
          </w:r>
          <w:r>
            <w:tab/>
          </w:r>
          <w:r>
            <w:fldChar w:fldCharType="begin"/>
          </w:r>
          <w:r>
            <w:instrText xml:space="preserve"> PAGEREF _Toc446 \h </w:instrText>
          </w:r>
          <w:r>
            <w:fldChar w:fldCharType="separate"/>
          </w:r>
          <w:r>
            <w:t>4</w:t>
          </w:r>
          <w:r>
            <w:fldChar w:fldCharType="end"/>
          </w:r>
          <w:r>
            <w:fldChar w:fldCharType="end"/>
          </w:r>
        </w:p>
        <w:p>
          <w:pPr>
            <w:pStyle w:val="12"/>
            <w:tabs>
              <w:tab w:val="right" w:leader="dot" w:pos="8306"/>
              <w:tab w:val="clear" w:pos="8296"/>
            </w:tabs>
          </w:pPr>
          <w:r>
            <w:fldChar w:fldCharType="begin"/>
          </w:r>
          <w:r>
            <w:instrText xml:space="preserve"> HYPERLINK \l _Toc32369 </w:instrText>
          </w:r>
          <w:r>
            <w:fldChar w:fldCharType="separate"/>
          </w:r>
          <w:r>
            <w:rPr>
              <w:rFonts w:hint="default" w:ascii="黑体" w:hAnsi="黑体" w:eastAsia="黑体"/>
            </w:rPr>
            <w:t xml:space="preserve">三、 </w:t>
          </w:r>
          <w:r>
            <w:rPr>
              <w:rFonts w:hint="eastAsia" w:ascii="黑体" w:hAnsi="黑体" w:eastAsia="黑体"/>
              <w:szCs w:val="32"/>
              <w:highlight w:val="none"/>
            </w:rPr>
            <w:t>支</w:t>
          </w:r>
          <w:r>
            <w:rPr>
              <w:rFonts w:hint="eastAsia" w:ascii="黑体" w:hAnsi="黑体" w:eastAsia="黑体"/>
              <w:highlight w:val="none"/>
            </w:rPr>
            <w:t>出决算情况说明</w:t>
          </w:r>
          <w:r>
            <w:tab/>
          </w:r>
          <w:r>
            <w:fldChar w:fldCharType="begin"/>
          </w:r>
          <w:r>
            <w:instrText xml:space="preserve"> PAGEREF _Toc32369 \h </w:instrText>
          </w:r>
          <w:r>
            <w:fldChar w:fldCharType="separate"/>
          </w:r>
          <w:r>
            <w:t>5</w:t>
          </w:r>
          <w:r>
            <w:fldChar w:fldCharType="end"/>
          </w:r>
          <w:r>
            <w:fldChar w:fldCharType="end"/>
          </w:r>
        </w:p>
        <w:p>
          <w:pPr>
            <w:pStyle w:val="12"/>
            <w:tabs>
              <w:tab w:val="right" w:leader="dot" w:pos="8306"/>
              <w:tab w:val="clear" w:pos="8296"/>
            </w:tabs>
          </w:pPr>
          <w:r>
            <w:fldChar w:fldCharType="begin"/>
          </w:r>
          <w:r>
            <w:instrText xml:space="preserve"> HYPERLINK \l _Toc14217 </w:instrText>
          </w:r>
          <w:r>
            <w:fldChar w:fldCharType="separate"/>
          </w:r>
          <w:r>
            <w:rPr>
              <w:rFonts w:hint="eastAsia" w:ascii="黑体" w:hAnsi="黑体" w:eastAsia="黑体"/>
              <w:szCs w:val="32"/>
              <w:highlight w:val="none"/>
            </w:rPr>
            <w:t>四、财</w:t>
          </w:r>
          <w:r>
            <w:rPr>
              <w:rFonts w:hint="eastAsia" w:ascii="黑体" w:hAnsi="黑体" w:eastAsia="黑体"/>
              <w:highlight w:val="none"/>
            </w:rPr>
            <w:t>政拨款收入支出决算总体情况说明</w:t>
          </w:r>
          <w:r>
            <w:tab/>
          </w:r>
          <w:r>
            <w:fldChar w:fldCharType="begin"/>
          </w:r>
          <w:r>
            <w:instrText xml:space="preserve"> PAGEREF _Toc14217 \h </w:instrText>
          </w:r>
          <w:r>
            <w:fldChar w:fldCharType="separate"/>
          </w:r>
          <w:r>
            <w:t>6</w:t>
          </w:r>
          <w:r>
            <w:fldChar w:fldCharType="end"/>
          </w:r>
          <w:r>
            <w:fldChar w:fldCharType="end"/>
          </w:r>
        </w:p>
        <w:p>
          <w:pPr>
            <w:pStyle w:val="12"/>
            <w:tabs>
              <w:tab w:val="right" w:leader="dot" w:pos="8306"/>
              <w:tab w:val="clear" w:pos="8296"/>
            </w:tabs>
          </w:pPr>
          <w:r>
            <w:fldChar w:fldCharType="begin"/>
          </w:r>
          <w:r>
            <w:instrText xml:space="preserve"> HYPERLINK \l _Toc28991 </w:instrText>
          </w:r>
          <w:r>
            <w:fldChar w:fldCharType="separate"/>
          </w:r>
          <w:r>
            <w:rPr>
              <w:rFonts w:hint="eastAsia" w:ascii="黑体" w:hAnsi="黑体" w:eastAsia="黑体"/>
              <w:szCs w:val="32"/>
              <w:highlight w:val="none"/>
            </w:rPr>
            <w:t>五、一</w:t>
          </w:r>
          <w:r>
            <w:rPr>
              <w:rFonts w:hint="eastAsia" w:ascii="黑体" w:hAnsi="黑体" w:eastAsia="黑体"/>
              <w:highlight w:val="none"/>
            </w:rPr>
            <w:t>般公共预算财政拨款支出决算情况说明</w:t>
          </w:r>
          <w:r>
            <w:tab/>
          </w:r>
          <w:r>
            <w:fldChar w:fldCharType="begin"/>
          </w:r>
          <w:r>
            <w:instrText xml:space="preserve"> PAGEREF _Toc28991 \h </w:instrText>
          </w:r>
          <w:r>
            <w:fldChar w:fldCharType="separate"/>
          </w:r>
          <w:r>
            <w:t>7</w:t>
          </w:r>
          <w:r>
            <w:fldChar w:fldCharType="end"/>
          </w:r>
          <w:r>
            <w:fldChar w:fldCharType="end"/>
          </w:r>
        </w:p>
        <w:p>
          <w:pPr>
            <w:pStyle w:val="12"/>
            <w:tabs>
              <w:tab w:val="right" w:leader="dot" w:pos="8306"/>
              <w:tab w:val="clear" w:pos="8296"/>
            </w:tabs>
          </w:pPr>
          <w:r>
            <w:fldChar w:fldCharType="begin"/>
          </w:r>
          <w:r>
            <w:instrText xml:space="preserve"> HYPERLINK \l _Toc9042 </w:instrText>
          </w:r>
          <w:r>
            <w:fldChar w:fldCharType="separate"/>
          </w:r>
          <w:r>
            <w:rPr>
              <w:rFonts w:hint="eastAsia" w:ascii="黑体" w:eastAsia="黑体"/>
              <w:szCs w:val="32"/>
              <w:highlight w:val="none"/>
            </w:rPr>
            <w:t>六、</w:t>
          </w:r>
          <w:r>
            <w:rPr>
              <w:rFonts w:hint="eastAsia" w:ascii="黑体" w:hAnsi="黑体" w:eastAsia="黑体"/>
              <w:szCs w:val="32"/>
              <w:highlight w:val="none"/>
            </w:rPr>
            <w:t>一</w:t>
          </w:r>
          <w:r>
            <w:rPr>
              <w:rFonts w:hint="eastAsia" w:ascii="黑体" w:hAnsi="黑体" w:eastAsia="黑体"/>
              <w:highlight w:val="none"/>
            </w:rPr>
            <w:t>般公共预算财政拨款基本支出决算情况说明</w:t>
          </w:r>
          <w:r>
            <w:tab/>
          </w:r>
          <w:r>
            <w:fldChar w:fldCharType="begin"/>
          </w:r>
          <w:r>
            <w:instrText xml:space="preserve"> PAGEREF _Toc9042 \h </w:instrText>
          </w:r>
          <w:r>
            <w:fldChar w:fldCharType="separate"/>
          </w:r>
          <w:r>
            <w:t>9</w:t>
          </w:r>
          <w:r>
            <w:fldChar w:fldCharType="end"/>
          </w:r>
          <w:r>
            <w:fldChar w:fldCharType="end"/>
          </w:r>
        </w:p>
        <w:p>
          <w:pPr>
            <w:pStyle w:val="12"/>
            <w:tabs>
              <w:tab w:val="right" w:leader="dot" w:pos="8306"/>
              <w:tab w:val="clear" w:pos="8296"/>
            </w:tabs>
          </w:pPr>
          <w:r>
            <w:fldChar w:fldCharType="begin"/>
          </w:r>
          <w:r>
            <w:instrText xml:space="preserve"> HYPERLINK \l _Toc2486 </w:instrText>
          </w:r>
          <w:r>
            <w:fldChar w:fldCharType="separate"/>
          </w:r>
          <w:r>
            <w:rPr>
              <w:rFonts w:hint="eastAsia" w:ascii="黑体" w:eastAsia="黑体"/>
              <w:szCs w:val="32"/>
              <w:highlight w:val="none"/>
            </w:rPr>
            <w:t>七、</w:t>
          </w:r>
          <w:r>
            <w:rPr>
              <w:rFonts w:hint="eastAsia" w:ascii="黑体" w:hAnsi="黑体" w:eastAsia="黑体"/>
              <w:highlight w:val="none"/>
            </w:rPr>
            <w:t>财政拨款“三公”经费支出决算情况说明</w:t>
          </w:r>
          <w:r>
            <w:tab/>
          </w:r>
          <w:r>
            <w:fldChar w:fldCharType="begin"/>
          </w:r>
          <w:r>
            <w:instrText xml:space="preserve"> PAGEREF _Toc2486 \h </w:instrText>
          </w:r>
          <w:r>
            <w:fldChar w:fldCharType="separate"/>
          </w:r>
          <w:r>
            <w:t>10</w:t>
          </w:r>
          <w:r>
            <w:fldChar w:fldCharType="end"/>
          </w:r>
          <w:r>
            <w:fldChar w:fldCharType="end"/>
          </w:r>
        </w:p>
        <w:p>
          <w:pPr>
            <w:pStyle w:val="12"/>
            <w:tabs>
              <w:tab w:val="right" w:leader="dot" w:pos="8306"/>
              <w:tab w:val="clear" w:pos="8296"/>
            </w:tabs>
          </w:pPr>
          <w:r>
            <w:fldChar w:fldCharType="begin"/>
          </w:r>
          <w:r>
            <w:instrText xml:space="preserve"> HYPERLINK \l _Toc18078 </w:instrText>
          </w:r>
          <w:r>
            <w:fldChar w:fldCharType="separate"/>
          </w:r>
          <w:r>
            <w:rPr>
              <w:rFonts w:hint="eastAsia" w:ascii="黑体" w:eastAsia="黑体"/>
              <w:szCs w:val="32"/>
              <w:highlight w:val="none"/>
            </w:rPr>
            <w:t>八、</w:t>
          </w:r>
          <w:r>
            <w:rPr>
              <w:rFonts w:hint="eastAsia" w:ascii="黑体" w:hAnsi="黑体" w:eastAsia="黑体"/>
              <w:highlight w:val="none"/>
            </w:rPr>
            <w:t>政府性基金预算支出决算情况说明</w:t>
          </w:r>
          <w:r>
            <w:tab/>
          </w:r>
          <w:r>
            <w:fldChar w:fldCharType="begin"/>
          </w:r>
          <w:r>
            <w:instrText xml:space="preserve"> PAGEREF _Toc18078 \h </w:instrText>
          </w:r>
          <w:r>
            <w:fldChar w:fldCharType="separate"/>
          </w:r>
          <w:r>
            <w:t>11</w:t>
          </w:r>
          <w:r>
            <w:fldChar w:fldCharType="end"/>
          </w:r>
          <w:r>
            <w:fldChar w:fldCharType="end"/>
          </w:r>
        </w:p>
        <w:p>
          <w:pPr>
            <w:pStyle w:val="12"/>
            <w:tabs>
              <w:tab w:val="right" w:leader="dot" w:pos="8306"/>
              <w:tab w:val="clear" w:pos="8296"/>
            </w:tabs>
          </w:pPr>
          <w:r>
            <w:fldChar w:fldCharType="begin"/>
          </w:r>
          <w:r>
            <w:instrText xml:space="preserve"> HYPERLINK \l _Toc24290 </w:instrText>
          </w:r>
          <w:r>
            <w:fldChar w:fldCharType="separate"/>
          </w:r>
          <w:r>
            <w:rPr>
              <w:rFonts w:hint="eastAsia" w:ascii="黑体" w:hAnsi="黑体" w:eastAsia="黑体"/>
            </w:rPr>
            <w:t xml:space="preserve">九、 </w:t>
          </w:r>
          <w:r>
            <w:rPr>
              <w:rFonts w:hint="eastAsia" w:ascii="黑体" w:hAnsi="黑体" w:eastAsia="黑体"/>
              <w:highlight w:val="none"/>
            </w:rPr>
            <w:t>国有资本经营预算支出决算情况说明</w:t>
          </w:r>
          <w:r>
            <w:tab/>
          </w:r>
          <w:r>
            <w:fldChar w:fldCharType="begin"/>
          </w:r>
          <w:r>
            <w:instrText xml:space="preserve"> PAGEREF _Toc24290 \h </w:instrText>
          </w:r>
          <w:r>
            <w:fldChar w:fldCharType="separate"/>
          </w:r>
          <w:r>
            <w:t>11</w:t>
          </w:r>
          <w:r>
            <w:fldChar w:fldCharType="end"/>
          </w:r>
          <w:r>
            <w:fldChar w:fldCharType="end"/>
          </w:r>
        </w:p>
        <w:p>
          <w:pPr>
            <w:pStyle w:val="12"/>
            <w:tabs>
              <w:tab w:val="right" w:leader="dot" w:pos="8306"/>
              <w:tab w:val="clear" w:pos="8296"/>
            </w:tabs>
          </w:pPr>
          <w:r>
            <w:fldChar w:fldCharType="begin"/>
          </w:r>
          <w:r>
            <w:instrText xml:space="preserve"> HYPERLINK \l _Toc21015 </w:instrText>
          </w:r>
          <w:r>
            <w:fldChar w:fldCharType="separate"/>
          </w:r>
          <w:r>
            <w:rPr>
              <w:rFonts w:hint="eastAsia" w:ascii="黑体" w:hAnsi="黑体" w:eastAsia="黑体"/>
            </w:rPr>
            <w:t xml:space="preserve">十、 </w:t>
          </w:r>
          <w:r>
            <w:rPr>
              <w:rFonts w:hint="eastAsia" w:ascii="黑体" w:hAnsi="黑体" w:eastAsia="黑体"/>
              <w:highlight w:val="none"/>
            </w:rPr>
            <w:t>其他重要事项的情况说明</w:t>
          </w:r>
          <w:r>
            <w:tab/>
          </w:r>
          <w:r>
            <w:fldChar w:fldCharType="begin"/>
          </w:r>
          <w:r>
            <w:instrText xml:space="preserve"> PAGEREF _Toc21015 \h </w:instrText>
          </w:r>
          <w:r>
            <w:fldChar w:fldCharType="separate"/>
          </w:r>
          <w:r>
            <w:t>12</w:t>
          </w:r>
          <w:r>
            <w:fldChar w:fldCharType="end"/>
          </w:r>
          <w:r>
            <w:fldChar w:fldCharType="end"/>
          </w:r>
        </w:p>
        <w:p>
          <w:pPr>
            <w:pStyle w:val="11"/>
            <w:tabs>
              <w:tab w:val="right" w:leader="dot" w:pos="8306"/>
              <w:tab w:val="clear" w:pos="8296"/>
            </w:tabs>
          </w:pPr>
          <w:r>
            <w:fldChar w:fldCharType="begin"/>
          </w:r>
          <w:r>
            <w:instrText xml:space="preserve"> HYPERLINK \l _Toc21476 </w:instrText>
          </w:r>
          <w:r>
            <w:fldChar w:fldCharType="separate"/>
          </w:r>
          <w:r>
            <w:rPr>
              <w:rFonts w:hint="eastAsia" w:ascii="黑体" w:hAnsi="黑体" w:eastAsia="黑体" w:cs="黑体"/>
              <w:szCs w:val="44"/>
            </w:rPr>
            <w:t xml:space="preserve">第三部分 </w:t>
          </w:r>
          <w:r>
            <w:rPr>
              <w:rFonts w:hint="eastAsia" w:ascii="黑体" w:hAnsi="黑体" w:eastAsia="黑体"/>
              <w:szCs w:val="44"/>
              <w:highlight w:val="none"/>
            </w:rPr>
            <w:t>名</w:t>
          </w:r>
          <w:r>
            <w:rPr>
              <w:rFonts w:hint="eastAsia" w:ascii="黑体" w:hAnsi="黑体" w:eastAsia="黑体"/>
              <w:highlight w:val="none"/>
            </w:rPr>
            <w:t>词解释</w:t>
          </w:r>
          <w:r>
            <w:tab/>
          </w:r>
          <w:r>
            <w:fldChar w:fldCharType="begin"/>
          </w:r>
          <w:r>
            <w:instrText xml:space="preserve"> PAGEREF _Toc21476 \h </w:instrText>
          </w:r>
          <w:r>
            <w:fldChar w:fldCharType="separate"/>
          </w:r>
          <w:r>
            <w:t>13</w:t>
          </w:r>
          <w:r>
            <w:fldChar w:fldCharType="end"/>
          </w:r>
          <w:r>
            <w:fldChar w:fldCharType="end"/>
          </w:r>
        </w:p>
        <w:p>
          <w:pPr>
            <w:pStyle w:val="11"/>
            <w:tabs>
              <w:tab w:val="right" w:leader="dot" w:pos="8306"/>
              <w:tab w:val="clear" w:pos="8296"/>
            </w:tabs>
          </w:pPr>
          <w:r>
            <w:fldChar w:fldCharType="begin"/>
          </w:r>
          <w:r>
            <w:instrText xml:space="preserve"> HYPERLINK \l _Toc14966 </w:instrText>
          </w:r>
          <w:r>
            <w:fldChar w:fldCharType="separate"/>
          </w:r>
          <w:r>
            <w:rPr>
              <w:rFonts w:hint="eastAsia" w:ascii="黑体" w:hAnsi="黑体" w:eastAsia="黑体"/>
              <w:szCs w:val="44"/>
              <w:highlight w:val="none"/>
            </w:rPr>
            <w:t>第</w:t>
          </w:r>
          <w:r>
            <w:rPr>
              <w:rFonts w:hint="eastAsia" w:ascii="黑体" w:hAnsi="黑体" w:eastAsia="黑体"/>
              <w:highlight w:val="none"/>
            </w:rPr>
            <w:t>四部分 附件</w:t>
          </w:r>
          <w:r>
            <w:tab/>
          </w:r>
          <w:r>
            <w:fldChar w:fldCharType="begin"/>
          </w:r>
          <w:r>
            <w:instrText xml:space="preserve"> PAGEREF _Toc14966 \h </w:instrText>
          </w:r>
          <w:r>
            <w:fldChar w:fldCharType="separate"/>
          </w:r>
          <w:r>
            <w:t>16</w:t>
          </w:r>
          <w:r>
            <w:fldChar w:fldCharType="end"/>
          </w:r>
          <w:r>
            <w:fldChar w:fldCharType="end"/>
          </w:r>
        </w:p>
        <w:p>
          <w:pPr>
            <w:pStyle w:val="11"/>
            <w:tabs>
              <w:tab w:val="right" w:leader="dot" w:pos="8306"/>
              <w:tab w:val="clear" w:pos="8296"/>
            </w:tabs>
          </w:pPr>
          <w:r>
            <w:fldChar w:fldCharType="begin"/>
          </w:r>
          <w:r>
            <w:instrText xml:space="preserve"> HYPERLINK \l _Toc2503 </w:instrText>
          </w:r>
          <w:r>
            <w:fldChar w:fldCharType="separate"/>
          </w:r>
          <w:r>
            <w:rPr>
              <w:rFonts w:hint="eastAsia" w:ascii="黑体" w:hAnsi="黑体" w:eastAsia="黑体"/>
              <w:szCs w:val="44"/>
              <w:highlight w:val="none"/>
            </w:rPr>
            <w:t>第</w:t>
          </w:r>
          <w:r>
            <w:rPr>
              <w:rFonts w:hint="eastAsia" w:ascii="黑体" w:hAnsi="黑体" w:eastAsia="黑体"/>
              <w:highlight w:val="none"/>
            </w:rPr>
            <w:t>五部分 附表</w:t>
          </w:r>
          <w:r>
            <w:tab/>
          </w:r>
          <w:r>
            <w:fldChar w:fldCharType="begin"/>
          </w:r>
          <w:r>
            <w:instrText xml:space="preserve"> PAGEREF _Toc2503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_Toc16293 </w:instrText>
          </w:r>
          <w:r>
            <w:fldChar w:fldCharType="separate"/>
          </w:r>
          <w:r>
            <w:rPr>
              <w:rFonts w:hint="eastAsia" w:ascii="仿宋" w:hAnsi="仿宋" w:eastAsia="仿宋"/>
              <w:highlight w:val="none"/>
            </w:rPr>
            <w:t>一、收</w:t>
          </w:r>
          <w:r>
            <w:rPr>
              <w:rFonts w:hint="eastAsia" w:ascii="仿宋" w:hAnsi="仿宋" w:eastAsia="仿宋"/>
              <w:bCs w:val="0"/>
              <w:highlight w:val="none"/>
            </w:rPr>
            <w:t>入支出决算总表</w:t>
          </w:r>
          <w:r>
            <w:tab/>
          </w:r>
          <w:r>
            <w:fldChar w:fldCharType="begin"/>
          </w:r>
          <w:r>
            <w:instrText xml:space="preserve"> PAGEREF _Toc16293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_Toc5802 </w:instrText>
          </w:r>
          <w:r>
            <w:fldChar w:fldCharType="separate"/>
          </w:r>
          <w:r>
            <w:rPr>
              <w:rFonts w:hint="eastAsia" w:ascii="仿宋" w:hAnsi="仿宋" w:eastAsia="仿宋"/>
              <w:highlight w:val="none"/>
            </w:rPr>
            <w:t>二、收</w:t>
          </w:r>
          <w:r>
            <w:rPr>
              <w:rFonts w:hint="eastAsia" w:ascii="仿宋" w:hAnsi="仿宋" w:eastAsia="仿宋"/>
              <w:bCs w:val="0"/>
              <w:highlight w:val="none"/>
            </w:rPr>
            <w:t>入决算表</w:t>
          </w:r>
          <w:r>
            <w:tab/>
          </w:r>
          <w:r>
            <w:fldChar w:fldCharType="begin"/>
          </w:r>
          <w:r>
            <w:instrText xml:space="preserve"> PAGEREF _Toc5802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_Toc23534 </w:instrText>
          </w:r>
          <w:r>
            <w:fldChar w:fldCharType="separate"/>
          </w:r>
          <w:r>
            <w:rPr>
              <w:rFonts w:hint="eastAsia" w:ascii="仿宋" w:hAnsi="仿宋" w:eastAsia="仿宋"/>
              <w:bCs w:val="0"/>
              <w:highlight w:val="none"/>
            </w:rPr>
            <w:t>三、</w:t>
          </w:r>
          <w:r>
            <w:rPr>
              <w:rFonts w:hint="eastAsia" w:ascii="仿宋" w:hAnsi="仿宋" w:eastAsia="仿宋"/>
              <w:highlight w:val="none"/>
            </w:rPr>
            <w:t>支</w:t>
          </w:r>
          <w:r>
            <w:rPr>
              <w:rFonts w:hint="eastAsia" w:ascii="仿宋" w:hAnsi="仿宋" w:eastAsia="仿宋"/>
              <w:bCs w:val="0"/>
              <w:highlight w:val="none"/>
            </w:rPr>
            <w:t>出决算表</w:t>
          </w:r>
          <w:r>
            <w:tab/>
          </w:r>
          <w:r>
            <w:fldChar w:fldCharType="begin"/>
          </w:r>
          <w:r>
            <w:instrText xml:space="preserve"> PAGEREF _Toc23534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_Toc20636 </w:instrText>
          </w:r>
          <w:r>
            <w:fldChar w:fldCharType="separate"/>
          </w:r>
          <w:r>
            <w:rPr>
              <w:rFonts w:hint="eastAsia" w:ascii="仿宋" w:hAnsi="仿宋" w:eastAsia="仿宋"/>
              <w:bCs w:val="0"/>
              <w:highlight w:val="none"/>
            </w:rPr>
            <w:t>四、</w:t>
          </w:r>
          <w:r>
            <w:rPr>
              <w:rFonts w:hint="eastAsia" w:ascii="仿宋" w:hAnsi="仿宋" w:eastAsia="仿宋"/>
              <w:highlight w:val="none"/>
            </w:rPr>
            <w:t>财</w:t>
          </w:r>
          <w:r>
            <w:rPr>
              <w:rFonts w:hint="eastAsia" w:ascii="仿宋" w:hAnsi="仿宋" w:eastAsia="仿宋"/>
              <w:bCs w:val="0"/>
              <w:highlight w:val="none"/>
            </w:rPr>
            <w:t>政拨款收入支出决算总表</w:t>
          </w:r>
          <w:r>
            <w:tab/>
          </w:r>
          <w:r>
            <w:fldChar w:fldCharType="begin"/>
          </w:r>
          <w:r>
            <w:instrText xml:space="preserve"> PAGEREF _Toc20636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_Toc31443 </w:instrText>
          </w:r>
          <w:r>
            <w:fldChar w:fldCharType="separate"/>
          </w:r>
          <w:r>
            <w:rPr>
              <w:rFonts w:hint="eastAsia" w:ascii="仿宋" w:hAnsi="仿宋" w:eastAsia="仿宋"/>
              <w:bCs w:val="0"/>
              <w:highlight w:val="none"/>
            </w:rPr>
            <w:t>五、</w:t>
          </w:r>
          <w:r>
            <w:rPr>
              <w:rFonts w:hint="eastAsia" w:ascii="仿宋" w:hAnsi="仿宋" w:eastAsia="仿宋"/>
              <w:highlight w:val="none"/>
            </w:rPr>
            <w:t>财</w:t>
          </w:r>
          <w:r>
            <w:rPr>
              <w:rFonts w:hint="eastAsia" w:ascii="仿宋" w:hAnsi="仿宋" w:eastAsia="仿宋"/>
              <w:bCs w:val="0"/>
              <w:highlight w:val="none"/>
            </w:rPr>
            <w:t>政拨款支出决算明细表</w:t>
          </w:r>
          <w:r>
            <w:tab/>
          </w:r>
          <w:r>
            <w:fldChar w:fldCharType="begin"/>
          </w:r>
          <w:r>
            <w:instrText xml:space="preserve"> PAGEREF _Toc31443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_Toc8791 </w:instrText>
          </w:r>
          <w:r>
            <w:fldChar w:fldCharType="separate"/>
          </w:r>
          <w:r>
            <w:rPr>
              <w:rFonts w:hint="eastAsia" w:ascii="仿宋" w:hAnsi="仿宋" w:eastAsia="仿宋"/>
              <w:bCs w:val="0"/>
              <w:highlight w:val="none"/>
            </w:rPr>
            <w:t>六、</w:t>
          </w:r>
          <w:r>
            <w:rPr>
              <w:rFonts w:hint="eastAsia" w:ascii="仿宋" w:hAnsi="仿宋" w:eastAsia="仿宋"/>
              <w:highlight w:val="none"/>
            </w:rPr>
            <w:t>一</w:t>
          </w:r>
          <w:r>
            <w:rPr>
              <w:rFonts w:hint="eastAsia" w:ascii="仿宋" w:hAnsi="仿宋" w:eastAsia="仿宋"/>
              <w:bCs w:val="0"/>
              <w:highlight w:val="none"/>
            </w:rPr>
            <w:t>般公共预算财政拨款支出决算表</w:t>
          </w:r>
          <w:r>
            <w:tab/>
          </w:r>
          <w:r>
            <w:fldChar w:fldCharType="begin"/>
          </w:r>
          <w:r>
            <w:instrText xml:space="preserve"> PAGEREF _Toc8791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_Toc15494 </w:instrText>
          </w:r>
          <w:r>
            <w:fldChar w:fldCharType="separate"/>
          </w:r>
          <w:r>
            <w:rPr>
              <w:rFonts w:hint="eastAsia" w:ascii="仿宋" w:hAnsi="仿宋" w:eastAsia="仿宋"/>
              <w:bCs w:val="0"/>
              <w:highlight w:val="none"/>
            </w:rPr>
            <w:t>七、</w:t>
          </w:r>
          <w:r>
            <w:rPr>
              <w:rFonts w:hint="eastAsia" w:ascii="仿宋" w:hAnsi="仿宋" w:eastAsia="仿宋"/>
              <w:highlight w:val="none"/>
            </w:rPr>
            <w:t>一</w:t>
          </w:r>
          <w:r>
            <w:rPr>
              <w:rFonts w:hint="eastAsia" w:ascii="仿宋" w:hAnsi="仿宋" w:eastAsia="仿宋"/>
              <w:bCs w:val="0"/>
              <w:highlight w:val="none"/>
            </w:rPr>
            <w:t>般公共预算财政拨款支出决算明细表</w:t>
          </w:r>
          <w:r>
            <w:tab/>
          </w:r>
          <w:r>
            <w:fldChar w:fldCharType="begin"/>
          </w:r>
          <w:r>
            <w:instrText xml:space="preserve"> PAGEREF _Toc15494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_Toc29239 </w:instrText>
          </w:r>
          <w:r>
            <w:fldChar w:fldCharType="separate"/>
          </w:r>
          <w:r>
            <w:rPr>
              <w:rFonts w:hint="eastAsia" w:ascii="仿宋" w:hAnsi="仿宋" w:eastAsia="仿宋"/>
              <w:bCs w:val="0"/>
              <w:highlight w:val="none"/>
            </w:rPr>
            <w:t>八、</w:t>
          </w:r>
          <w:r>
            <w:rPr>
              <w:rFonts w:hint="eastAsia" w:ascii="仿宋" w:hAnsi="仿宋" w:eastAsia="仿宋"/>
              <w:highlight w:val="none"/>
            </w:rPr>
            <w:t>一</w:t>
          </w:r>
          <w:r>
            <w:rPr>
              <w:rFonts w:hint="eastAsia" w:ascii="仿宋" w:hAnsi="仿宋" w:eastAsia="仿宋"/>
              <w:bCs w:val="0"/>
              <w:highlight w:val="none"/>
            </w:rPr>
            <w:t>般公共预算财政拨款基本支出决算表</w:t>
          </w:r>
          <w:r>
            <w:tab/>
          </w:r>
          <w:r>
            <w:fldChar w:fldCharType="begin"/>
          </w:r>
          <w:r>
            <w:instrText xml:space="preserve"> PAGEREF _Toc29239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_Toc24853 </w:instrText>
          </w:r>
          <w:r>
            <w:fldChar w:fldCharType="separate"/>
          </w:r>
          <w:r>
            <w:rPr>
              <w:rFonts w:hint="eastAsia" w:ascii="仿宋" w:hAnsi="仿宋" w:eastAsia="仿宋"/>
              <w:bCs w:val="0"/>
              <w:highlight w:val="none"/>
            </w:rPr>
            <w:t>九、</w:t>
          </w:r>
          <w:r>
            <w:rPr>
              <w:rFonts w:hint="eastAsia" w:ascii="仿宋" w:hAnsi="仿宋" w:eastAsia="仿宋"/>
              <w:highlight w:val="none"/>
            </w:rPr>
            <w:t>一</w:t>
          </w:r>
          <w:r>
            <w:rPr>
              <w:rFonts w:hint="eastAsia" w:ascii="仿宋" w:hAnsi="仿宋" w:eastAsia="仿宋"/>
              <w:bCs w:val="0"/>
              <w:highlight w:val="none"/>
            </w:rPr>
            <w:t>般公共预算财政拨款项目支出决算表</w:t>
          </w:r>
          <w:r>
            <w:tab/>
          </w:r>
          <w:r>
            <w:fldChar w:fldCharType="begin"/>
          </w:r>
          <w:r>
            <w:instrText xml:space="preserve"> PAGEREF _Toc24853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_Toc20120 </w:instrText>
          </w:r>
          <w:r>
            <w:fldChar w:fldCharType="separate"/>
          </w:r>
          <w:r>
            <w:rPr>
              <w:rFonts w:hint="eastAsia" w:ascii="仿宋" w:hAnsi="仿宋" w:eastAsia="仿宋"/>
              <w:bCs w:val="0"/>
              <w:highlight w:val="none"/>
            </w:rPr>
            <w:t>十、</w:t>
          </w:r>
          <w:r>
            <w:rPr>
              <w:rFonts w:hint="eastAsia" w:ascii="仿宋" w:hAnsi="仿宋" w:eastAsia="仿宋"/>
              <w:highlight w:val="none"/>
            </w:rPr>
            <w:t>政</w:t>
          </w:r>
          <w:r>
            <w:rPr>
              <w:rFonts w:hint="eastAsia" w:ascii="仿宋" w:hAnsi="仿宋" w:eastAsia="仿宋"/>
              <w:bCs w:val="0"/>
              <w:highlight w:val="none"/>
            </w:rPr>
            <w:t>府性基金预算财政拨款收入支出决算表</w:t>
          </w:r>
          <w:r>
            <w:tab/>
          </w:r>
          <w:r>
            <w:fldChar w:fldCharType="begin"/>
          </w:r>
          <w:r>
            <w:instrText xml:space="preserve"> PAGEREF _Toc20120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_Toc23023 </w:instrText>
          </w:r>
          <w:r>
            <w:fldChar w:fldCharType="separate"/>
          </w:r>
          <w:r>
            <w:rPr>
              <w:rFonts w:hint="eastAsia" w:ascii="仿宋" w:hAnsi="仿宋" w:eastAsia="仿宋"/>
              <w:bCs w:val="0"/>
              <w:highlight w:val="none"/>
            </w:rPr>
            <w:t>十一、</w:t>
          </w:r>
          <w:r>
            <w:rPr>
              <w:rFonts w:hint="eastAsia" w:ascii="仿宋" w:hAnsi="仿宋" w:eastAsia="仿宋"/>
              <w:highlight w:val="none"/>
            </w:rPr>
            <w:t>国</w:t>
          </w:r>
          <w:r>
            <w:rPr>
              <w:rFonts w:hint="eastAsia" w:ascii="仿宋" w:hAnsi="仿宋" w:eastAsia="仿宋"/>
              <w:bCs w:val="0"/>
              <w:highlight w:val="none"/>
            </w:rPr>
            <w:t>有资本经营预算</w:t>
          </w:r>
          <w:r>
            <w:rPr>
              <w:rFonts w:hint="eastAsia" w:ascii="仿宋" w:hAnsi="仿宋" w:eastAsia="仿宋"/>
              <w:bCs w:val="0"/>
              <w:highlight w:val="none"/>
              <w:lang w:eastAsia="zh-CN"/>
            </w:rPr>
            <w:t>财政拨款收入</w:t>
          </w:r>
          <w:r>
            <w:rPr>
              <w:rFonts w:hint="eastAsia" w:ascii="仿宋" w:hAnsi="仿宋" w:eastAsia="仿宋"/>
              <w:bCs w:val="0"/>
              <w:highlight w:val="none"/>
            </w:rPr>
            <w:t>支出决算表</w:t>
          </w:r>
          <w:r>
            <w:tab/>
          </w:r>
          <w:r>
            <w:fldChar w:fldCharType="begin"/>
          </w:r>
          <w:r>
            <w:instrText xml:space="preserve"> PAGEREF _Toc23023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_Toc30139 </w:instrText>
          </w:r>
          <w:r>
            <w:fldChar w:fldCharType="separate"/>
          </w:r>
          <w:r>
            <w:rPr>
              <w:rFonts w:hint="eastAsia" w:ascii="仿宋" w:hAnsi="仿宋" w:eastAsia="仿宋"/>
              <w:bCs w:val="0"/>
              <w:highlight w:val="none"/>
            </w:rPr>
            <w:t>十二、</w:t>
          </w:r>
          <w:r>
            <w:rPr>
              <w:rFonts w:hint="eastAsia" w:ascii="仿宋" w:hAnsi="仿宋" w:eastAsia="仿宋"/>
              <w:bCs w:val="0"/>
              <w:highlight w:val="none"/>
              <w:lang w:eastAsia="zh-CN"/>
            </w:rPr>
            <w:t>国有资本经营预算财政拨款支出决算表</w:t>
          </w:r>
          <w:r>
            <w:tab/>
          </w:r>
          <w:r>
            <w:fldChar w:fldCharType="begin"/>
          </w:r>
          <w:r>
            <w:instrText xml:space="preserve"> PAGEREF _Toc30139 \h </w:instrText>
          </w:r>
          <w:r>
            <w:fldChar w:fldCharType="separate"/>
          </w:r>
          <w:r>
            <w:t>17</w:t>
          </w:r>
          <w:r>
            <w:fldChar w:fldCharType="end"/>
          </w:r>
          <w:r>
            <w:fldChar w:fldCharType="end"/>
          </w:r>
        </w:p>
        <w:p>
          <w:pPr>
            <w:pStyle w:val="12"/>
            <w:tabs>
              <w:tab w:val="right" w:leader="dot" w:pos="8306"/>
              <w:tab w:val="clear" w:pos="8296"/>
            </w:tabs>
          </w:pPr>
          <w:r>
            <w:fldChar w:fldCharType="begin"/>
          </w:r>
          <w:r>
            <w:instrText xml:space="preserve"> HYPERLINK \l _Toc31891 </w:instrText>
          </w:r>
          <w:r>
            <w:fldChar w:fldCharType="separate"/>
          </w:r>
          <w:r>
            <w:rPr>
              <w:rFonts w:hint="eastAsia" w:ascii="仿宋" w:hAnsi="仿宋" w:eastAsia="仿宋"/>
              <w:bCs w:val="0"/>
              <w:highlight w:val="none"/>
            </w:rPr>
            <w:t>十三、</w:t>
          </w:r>
          <w:r>
            <w:rPr>
              <w:rFonts w:hint="eastAsia" w:ascii="仿宋" w:hAnsi="仿宋" w:eastAsia="仿宋"/>
              <w:bCs w:val="0"/>
              <w:highlight w:val="none"/>
              <w:lang w:eastAsia="zh-CN"/>
            </w:rPr>
            <w:t>财政拨款“三公”经费支出决算表</w:t>
          </w:r>
          <w:r>
            <w:tab/>
          </w:r>
          <w:r>
            <w:fldChar w:fldCharType="begin"/>
          </w:r>
          <w:r>
            <w:instrText xml:space="preserve"> PAGEREF _Toc31891 \h </w:instrText>
          </w:r>
          <w:r>
            <w:fldChar w:fldCharType="separate"/>
          </w:r>
          <w:r>
            <w:t>17</w:t>
          </w:r>
          <w:r>
            <w:fldChar w:fldCharType="end"/>
          </w:r>
          <w:r>
            <w:fldChar w:fldCharType="end"/>
          </w:r>
        </w:p>
        <w:p>
          <w:r>
            <w:fldChar w:fldCharType="end"/>
          </w:r>
        </w:p>
      </w:sdtContent>
    </w:sdt>
    <w:p>
      <w:pPr>
        <w:rPr>
          <w:rFonts w:hint="eastAsia" w:ascii="黑体" w:hAnsi="黑体" w:eastAsia="黑体"/>
          <w:b w:val="0"/>
          <w:color w:val="auto"/>
          <w:highlight w:val="none"/>
        </w:rPr>
      </w:pPr>
      <w:r>
        <w:rPr>
          <w:rFonts w:hint="eastAsia" w:ascii="黑体" w:hAnsi="黑体" w:eastAsia="黑体"/>
          <w:b w:val="0"/>
          <w:color w:val="auto"/>
          <w:highlight w:val="none"/>
        </w:rPr>
        <w:br w:type="page"/>
      </w:r>
    </w:p>
    <w:p>
      <w:pPr>
        <w:pStyle w:val="3"/>
        <w:jc w:val="center"/>
        <w:rPr>
          <w:rStyle w:val="26"/>
          <w:rFonts w:ascii="黑体" w:hAnsi="黑体" w:eastAsia="黑体"/>
          <w:b/>
          <w:bCs w:val="0"/>
          <w:color w:val="auto"/>
          <w:highlight w:val="none"/>
        </w:rPr>
      </w:pPr>
      <w:bookmarkStart w:id="16" w:name="_Toc24"/>
      <w:r>
        <w:rPr>
          <w:rFonts w:hint="eastAsia" w:ascii="黑体" w:hAnsi="黑体" w:eastAsia="黑体"/>
          <w:b w:val="0"/>
          <w:color w:val="auto"/>
          <w:highlight w:val="none"/>
        </w:rPr>
        <w:t xml:space="preserve">第一部分 </w:t>
      </w:r>
      <w:r>
        <w:rPr>
          <w:rFonts w:hint="eastAsia" w:ascii="黑体" w:hAnsi="黑体" w:eastAsia="黑体"/>
          <w:b w:val="0"/>
          <w:color w:val="auto"/>
          <w:highlight w:val="none"/>
          <w:lang w:eastAsia="zh-CN"/>
        </w:rPr>
        <w:t>单位</w:t>
      </w:r>
      <w:r>
        <w:rPr>
          <w:rStyle w:val="26"/>
          <w:rFonts w:hint="eastAsia" w:ascii="黑体" w:hAnsi="黑体" w:eastAsia="黑体"/>
          <w:b w:val="0"/>
          <w:bCs w:val="0"/>
          <w:color w:val="auto"/>
          <w:highlight w:val="none"/>
        </w:rPr>
        <w:t>概况</w:t>
      </w:r>
      <w:bookmarkEnd w:id="14"/>
      <w:bookmarkEnd w:id="15"/>
      <w:bookmarkEnd w:id="16"/>
    </w:p>
    <w:p>
      <w:pPr>
        <w:widowControl/>
        <w:jc w:val="left"/>
        <w:rPr>
          <w:rFonts w:ascii="黑体" w:eastAsia="黑体"/>
          <w:color w:val="auto"/>
          <w:sz w:val="32"/>
          <w:szCs w:val="32"/>
          <w:highlight w:val="none"/>
        </w:rPr>
      </w:pPr>
    </w:p>
    <w:p>
      <w:pPr>
        <w:pStyle w:val="4"/>
        <w:numPr>
          <w:ilvl w:val="0"/>
          <w:numId w:val="1"/>
        </w:numPr>
        <w:rPr>
          <w:rStyle w:val="27"/>
          <w:rFonts w:hint="eastAsia" w:ascii="黑体" w:hAnsi="黑体" w:eastAsia="黑体"/>
          <w:b w:val="0"/>
          <w:bCs w:val="0"/>
          <w:color w:val="auto"/>
          <w:highlight w:val="none"/>
          <w:lang w:eastAsia="zh-CN"/>
        </w:rPr>
      </w:pPr>
      <w:bookmarkStart w:id="17" w:name="_Toc20470"/>
      <w:bookmarkStart w:id="18" w:name="_Toc15377197"/>
      <w:bookmarkStart w:id="19" w:name="_Toc15396600"/>
      <w:r>
        <w:rPr>
          <w:rStyle w:val="27"/>
          <w:rFonts w:hint="eastAsia" w:ascii="黑体" w:hAnsi="黑体" w:eastAsia="黑体"/>
          <w:b w:val="0"/>
          <w:bCs w:val="0"/>
          <w:color w:val="auto"/>
          <w:highlight w:val="none"/>
          <w:lang w:eastAsia="zh-CN"/>
        </w:rPr>
        <w:t>主要职责</w:t>
      </w:r>
      <w:bookmarkEnd w:id="17"/>
    </w:p>
    <w:p>
      <w:pPr>
        <w:snapToGrid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内江市科技服务中心负责建设内江市院士专家工作站的相关服务工作；为企事业单位提供精准科技服务；承担内江市工程系列中、初级专业技术职务任职资格申报及评审工作的相关服务工作；为内江市老科技工作者协会提供后勤保障服务；承担内江市科学会堂的维护服务工作；完成市科协交办的其他任务。</w:t>
      </w:r>
    </w:p>
    <w:p>
      <w:pPr>
        <w:rPr>
          <w:rFonts w:hint="eastAsia"/>
          <w:lang w:eastAsia="zh-CN"/>
        </w:rPr>
      </w:pPr>
    </w:p>
    <w:p>
      <w:pPr>
        <w:pStyle w:val="4"/>
        <w:numPr>
          <w:ilvl w:val="0"/>
          <w:numId w:val="1"/>
        </w:numPr>
        <w:ind w:left="0" w:leftChars="0" w:firstLine="0" w:firstLineChars="0"/>
        <w:rPr>
          <w:rFonts w:hint="eastAsia" w:ascii="黑体" w:hAnsi="黑体" w:eastAsia="黑体"/>
          <w:b w:val="0"/>
          <w:color w:val="auto"/>
          <w:highlight w:val="none"/>
          <w:lang w:val="en-US" w:eastAsia="zh-CN"/>
        </w:rPr>
      </w:pPr>
      <w:bookmarkStart w:id="20" w:name="_Toc31214"/>
      <w:r>
        <w:rPr>
          <w:rFonts w:hint="eastAsia" w:ascii="黑体" w:hAnsi="黑体" w:eastAsia="黑体"/>
          <w:b w:val="0"/>
          <w:color w:val="auto"/>
          <w:highlight w:val="none"/>
          <w:lang w:val="en-US" w:eastAsia="zh-CN"/>
        </w:rPr>
        <w:t>机构设置</w:t>
      </w:r>
      <w:bookmarkEnd w:id="20"/>
    </w:p>
    <w:bookmarkEnd w:id="18"/>
    <w:bookmarkEnd w:id="19"/>
    <w:p>
      <w:pPr>
        <w:snapToGrid w:val="0"/>
        <w:spacing w:line="58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内江市科技服务中心</w:t>
      </w:r>
      <w:r>
        <w:rPr>
          <w:rFonts w:hint="eastAsia" w:ascii="仿宋_GB2312" w:hAnsi="仿宋" w:eastAsia="仿宋_GB2312"/>
          <w:sz w:val="32"/>
          <w:szCs w:val="32"/>
          <w:lang w:val="en-US" w:eastAsia="zh-CN"/>
        </w:rPr>
        <w:t>是</w:t>
      </w:r>
      <w:r>
        <w:rPr>
          <w:rFonts w:hint="eastAsia" w:ascii="仿宋_GB2312" w:hAnsi="仿宋" w:eastAsia="仿宋_GB2312"/>
          <w:sz w:val="32"/>
          <w:szCs w:val="32"/>
        </w:rPr>
        <w:t>内江市科学技术协会</w:t>
      </w:r>
      <w:r>
        <w:rPr>
          <w:rFonts w:hint="eastAsia" w:ascii="仿宋_GB2312" w:hAnsi="仿宋" w:eastAsia="仿宋_GB2312"/>
          <w:sz w:val="32"/>
          <w:szCs w:val="32"/>
          <w:lang w:val="en-US" w:eastAsia="zh-CN"/>
        </w:rPr>
        <w:t>的下属二级单位，为财政全额拨款的</w:t>
      </w:r>
      <w:r>
        <w:rPr>
          <w:rFonts w:hint="eastAsia" w:ascii="仿宋_GB2312" w:hAnsi="仿宋" w:eastAsia="仿宋_GB2312"/>
          <w:sz w:val="32"/>
          <w:szCs w:val="32"/>
        </w:rPr>
        <w:t>公益一类事业单位</w:t>
      </w:r>
      <w:r>
        <w:rPr>
          <w:rFonts w:hint="eastAsia" w:ascii="仿宋_GB2312" w:hAnsi="仿宋" w:eastAsia="仿宋_GB2312"/>
          <w:sz w:val="32"/>
          <w:szCs w:val="32"/>
          <w:lang w:eastAsia="zh-CN"/>
        </w:rPr>
        <w:t>，</w:t>
      </w:r>
      <w:r>
        <w:rPr>
          <w:rFonts w:hint="eastAsia" w:ascii="仿宋_GB2312" w:hAnsi="仿宋" w:eastAsia="仿宋_GB2312"/>
          <w:sz w:val="32"/>
          <w:szCs w:val="32"/>
          <w:lang w:val="en-US" w:eastAsia="zh-CN"/>
        </w:rPr>
        <w:t>本单位无内设机构</w:t>
      </w:r>
      <w:r>
        <w:rPr>
          <w:rFonts w:hint="eastAsia" w:ascii="仿宋_GB2312" w:hAnsi="仿宋" w:eastAsia="仿宋_GB2312"/>
          <w:sz w:val="32"/>
          <w:szCs w:val="32"/>
        </w:rPr>
        <w:t>。</w:t>
      </w:r>
    </w:p>
    <w:p>
      <w:pPr>
        <w:widowControl/>
        <w:jc w:val="left"/>
        <w:rPr>
          <w:rFonts w:ascii="仿宋" w:hAnsi="仿宋" w:eastAsia="仿宋"/>
          <w:color w:val="auto"/>
          <w:kern w:val="0"/>
          <w:sz w:val="32"/>
          <w:szCs w:val="32"/>
          <w:highlight w:val="none"/>
        </w:rPr>
      </w:pPr>
      <w:r>
        <w:rPr>
          <w:rFonts w:ascii="仿宋" w:hAnsi="仿宋" w:eastAsia="仿宋"/>
          <w:color w:val="auto"/>
          <w:sz w:val="32"/>
          <w:szCs w:val="32"/>
          <w:highlight w:val="none"/>
        </w:rPr>
        <w:br w:type="page"/>
      </w:r>
    </w:p>
    <w:p>
      <w:pPr>
        <w:pStyle w:val="3"/>
        <w:ind w:right="440"/>
        <w:jc w:val="center"/>
        <w:rPr>
          <w:rStyle w:val="26"/>
          <w:rFonts w:ascii="黑体" w:hAnsi="黑体" w:eastAsia="黑体"/>
          <w:b w:val="0"/>
          <w:bCs/>
          <w:color w:val="auto"/>
          <w:highlight w:val="none"/>
        </w:rPr>
      </w:pPr>
      <w:bookmarkStart w:id="21" w:name="_Toc11138"/>
      <w:bookmarkStart w:id="22" w:name="_Toc15377204"/>
      <w:bookmarkStart w:id="23" w:name="_Toc15396602"/>
      <w:r>
        <w:rPr>
          <w:rFonts w:hint="eastAsia" w:ascii="黑体" w:hAnsi="黑体" w:eastAsia="黑体"/>
          <w:b w:val="0"/>
          <w:bCs/>
          <w:color w:val="auto"/>
          <w:highlight w:val="none"/>
        </w:rPr>
        <w:t xml:space="preserve">第二部分 </w:t>
      </w:r>
      <w:r>
        <w:rPr>
          <w:rFonts w:hint="eastAsia" w:ascii="黑体" w:hAnsi="黑体" w:eastAsia="黑体"/>
          <w:b w:val="0"/>
          <w:bCs/>
          <w:color w:val="auto"/>
          <w:highlight w:val="none"/>
          <w:lang w:val="en-US" w:eastAsia="zh-CN"/>
        </w:rPr>
        <w:t>2022年度</w:t>
      </w:r>
      <w:r>
        <w:rPr>
          <w:rStyle w:val="26"/>
          <w:rFonts w:hint="eastAsia" w:ascii="黑体" w:hAnsi="黑体" w:eastAsia="黑体"/>
          <w:b w:val="0"/>
          <w:bCs/>
          <w:color w:val="auto"/>
          <w:highlight w:val="none"/>
          <w:lang w:eastAsia="zh-CN"/>
        </w:rPr>
        <w:t>单位</w:t>
      </w:r>
      <w:r>
        <w:rPr>
          <w:rStyle w:val="26"/>
          <w:rFonts w:hint="eastAsia" w:ascii="黑体" w:hAnsi="黑体" w:eastAsia="黑体"/>
          <w:b w:val="0"/>
          <w:bCs/>
          <w:color w:val="auto"/>
          <w:highlight w:val="none"/>
        </w:rPr>
        <w:t>决算情况说明</w:t>
      </w:r>
      <w:bookmarkEnd w:id="21"/>
      <w:bookmarkEnd w:id="22"/>
      <w:bookmarkEnd w:id="23"/>
    </w:p>
    <w:p>
      <w:pPr>
        <w:rPr>
          <w:color w:val="auto"/>
          <w:highlight w:val="none"/>
        </w:rPr>
      </w:pPr>
    </w:p>
    <w:p>
      <w:pPr>
        <w:pStyle w:val="25"/>
        <w:numPr>
          <w:ilvl w:val="0"/>
          <w:numId w:val="2"/>
        </w:numPr>
        <w:spacing w:line="600" w:lineRule="exact"/>
        <w:ind w:firstLineChars="0"/>
        <w:outlineLvl w:val="1"/>
        <w:rPr>
          <w:rStyle w:val="27"/>
          <w:rFonts w:ascii="黑体" w:hAnsi="黑体" w:eastAsia="黑体"/>
          <w:b w:val="0"/>
          <w:color w:val="auto"/>
          <w:highlight w:val="none"/>
        </w:rPr>
      </w:pPr>
      <w:bookmarkStart w:id="24" w:name="_Toc15377205"/>
      <w:bookmarkStart w:id="25" w:name="_Toc21442"/>
      <w:bookmarkStart w:id="26" w:name="_Toc15396603"/>
      <w:r>
        <w:rPr>
          <w:rFonts w:hint="eastAsia" w:ascii="黑体" w:hAnsi="黑体" w:eastAsia="黑体"/>
          <w:color w:val="auto"/>
          <w:sz w:val="32"/>
          <w:szCs w:val="32"/>
          <w:highlight w:val="none"/>
        </w:rPr>
        <w:t>收</w:t>
      </w:r>
      <w:r>
        <w:rPr>
          <w:rStyle w:val="27"/>
          <w:rFonts w:hint="eastAsia" w:ascii="黑体" w:hAnsi="黑体" w:eastAsia="黑体"/>
          <w:b w:val="0"/>
          <w:color w:val="auto"/>
          <w:highlight w:val="none"/>
        </w:rPr>
        <w:t>入支出决算总体情况说明</w:t>
      </w:r>
      <w:bookmarkEnd w:id="24"/>
      <w:bookmarkEnd w:id="25"/>
      <w:bookmarkEnd w:id="26"/>
    </w:p>
    <w:p>
      <w:pPr>
        <w:spacing w:line="600" w:lineRule="exact"/>
        <w:ind w:firstLine="640" w:firstLineChars="200"/>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年度收</w:t>
      </w:r>
      <w:r>
        <w:rPr>
          <w:rFonts w:hint="eastAsia" w:ascii="仿宋" w:hAnsi="仿宋" w:eastAsia="仿宋"/>
          <w:color w:val="auto"/>
          <w:sz w:val="32"/>
          <w:szCs w:val="32"/>
          <w:highlight w:val="none"/>
          <w:lang w:val="en-US" w:eastAsia="zh-CN"/>
        </w:rPr>
        <w:t>入</w:t>
      </w:r>
      <w:r>
        <w:rPr>
          <w:rFonts w:hint="eastAsia" w:ascii="仿宋" w:hAnsi="仿宋" w:eastAsia="仿宋"/>
          <w:color w:val="auto"/>
          <w:sz w:val="32"/>
          <w:szCs w:val="32"/>
          <w:highlight w:val="none"/>
        </w:rPr>
        <w:t>总计</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万元。与20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年相比减少</w:t>
      </w:r>
      <w:r>
        <w:rPr>
          <w:rFonts w:hint="eastAsia" w:ascii="仿宋" w:hAnsi="仿宋" w:eastAsia="仿宋"/>
          <w:color w:val="auto"/>
          <w:sz w:val="32"/>
          <w:szCs w:val="32"/>
          <w:highlight w:val="none"/>
          <w:lang w:val="en-US" w:eastAsia="zh-CN"/>
        </w:rPr>
        <w:t>3.77</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3.28</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按照市财政要求压减一般性支出预算资金。</w:t>
      </w:r>
    </w:p>
    <w:p>
      <w:pPr>
        <w:snapToGrid w:val="0"/>
        <w:spacing w:line="580" w:lineRule="exact"/>
        <w:ind w:firstLine="640" w:firstLineChars="200"/>
        <w:rPr>
          <w:rFonts w:hint="eastAsia" w:ascii="仿宋_GB2312" w:hAnsi="仿宋" w:eastAsia="仿宋_GB2312"/>
          <w:sz w:val="32"/>
          <w:szCs w:val="32"/>
          <w:lang w:eastAsia="zh-CN"/>
        </w:rPr>
      </w:pP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年度</w:t>
      </w:r>
      <w:r>
        <w:rPr>
          <w:rFonts w:hint="eastAsia" w:ascii="仿宋" w:hAnsi="仿宋" w:eastAsia="仿宋"/>
          <w:color w:val="auto"/>
          <w:sz w:val="32"/>
          <w:szCs w:val="32"/>
          <w:highlight w:val="none"/>
          <w:lang w:val="en-US" w:eastAsia="zh-CN"/>
        </w:rPr>
        <w:t>支出</w:t>
      </w:r>
      <w:r>
        <w:rPr>
          <w:rFonts w:hint="eastAsia" w:ascii="仿宋" w:hAnsi="仿宋" w:eastAsia="仿宋"/>
          <w:color w:val="auto"/>
          <w:sz w:val="32"/>
          <w:szCs w:val="32"/>
          <w:highlight w:val="none"/>
        </w:rPr>
        <w:t>总计</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w:t>
      </w:r>
      <w:r>
        <w:rPr>
          <w:rFonts w:hint="eastAsia" w:ascii="仿宋" w:hAnsi="仿宋" w:eastAsia="仿宋"/>
          <w:color w:val="auto"/>
          <w:sz w:val="32"/>
          <w:szCs w:val="32"/>
          <w:highlight w:val="none"/>
          <w:lang w:val="en-US" w:eastAsia="zh-CN"/>
        </w:rPr>
        <w:t>与</w:t>
      </w:r>
      <w:r>
        <w:rPr>
          <w:rFonts w:hint="eastAsia" w:ascii="仿宋" w:hAnsi="仿宋" w:eastAsia="仿宋"/>
          <w:color w:val="000000"/>
          <w:sz w:val="32"/>
          <w:szCs w:val="32"/>
          <w:lang w:val="en-US" w:eastAsia="zh-CN"/>
        </w:rPr>
        <w:t>2021年相比减少6.87</w:t>
      </w:r>
      <w:r>
        <w:rPr>
          <w:rFonts w:hint="eastAsia" w:ascii="仿宋_GB2312" w:hAnsi="仿宋" w:eastAsia="仿宋_GB2312"/>
          <w:sz w:val="32"/>
          <w:szCs w:val="32"/>
          <w:lang w:val="en-US" w:eastAsia="zh-CN"/>
        </w:rPr>
        <w:t>万元，减少5.82%，</w:t>
      </w:r>
      <w:r>
        <w:rPr>
          <w:rFonts w:hint="eastAsia" w:ascii="仿宋_GB2312" w:hAnsi="仿宋" w:eastAsia="仿宋_GB2312"/>
          <w:sz w:val="32"/>
          <w:szCs w:val="32"/>
        </w:rPr>
        <w:t>主要原因是</w:t>
      </w:r>
      <w:r>
        <w:rPr>
          <w:rFonts w:hint="eastAsia" w:ascii="仿宋_GB2312" w:hAnsi="仿宋" w:eastAsia="仿宋_GB2312"/>
          <w:sz w:val="32"/>
          <w:szCs w:val="32"/>
          <w:lang w:val="en-US" w:eastAsia="zh-CN"/>
        </w:rPr>
        <w:t>厉行节约，压减支出，主要减少在职人员的绩效奖以及会议费、维修费、培训费等支出</w:t>
      </w:r>
      <w:r>
        <w:rPr>
          <w:rFonts w:hint="eastAsia" w:ascii="仿宋_GB2312" w:hAnsi="仿宋" w:eastAsia="仿宋_GB2312"/>
          <w:sz w:val="32"/>
          <w:szCs w:val="32"/>
        </w:rPr>
        <w:t>。</w:t>
      </w:r>
    </w:p>
    <w:p>
      <w:pPr>
        <w:pStyle w:val="2"/>
        <w:rPr>
          <w:rFonts w:hint="eastAsia"/>
          <w:lang w:eastAsia="zh-CN"/>
        </w:rPr>
      </w:pPr>
      <w:r>
        <w:drawing>
          <wp:inline distT="0" distB="0" distL="114300" distR="114300">
            <wp:extent cx="5271770" cy="1964055"/>
            <wp:effectExtent l="5080" t="4445" r="19050" b="12700"/>
            <wp:docPr id="103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
        <w:rPr>
          <w:rFonts w:hint="eastAsia"/>
        </w:rPr>
      </w:pPr>
      <w:r>
        <w:drawing>
          <wp:inline distT="0" distB="0" distL="114300" distR="114300">
            <wp:extent cx="5271135" cy="2200275"/>
            <wp:effectExtent l="4445" t="4445" r="20320" b="5080"/>
            <wp:docPr id="103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1280" w:firstLineChars="400"/>
        <w:rPr>
          <w:rFonts w:ascii="仿宋" w:hAnsi="仿宋" w:eastAsia="仿宋"/>
          <w:color w:val="auto"/>
          <w:sz w:val="32"/>
          <w:szCs w:val="32"/>
          <w:highlight w:val="none"/>
        </w:rPr>
      </w:pPr>
      <w:r>
        <w:rPr>
          <w:rFonts w:hint="eastAsia" w:ascii="仿宋" w:hAnsi="仿宋" w:eastAsia="仿宋"/>
          <w:color w:val="auto"/>
          <w:sz w:val="32"/>
          <w:szCs w:val="32"/>
          <w:highlight w:val="none"/>
        </w:rPr>
        <w:t>（图</w:t>
      </w:r>
      <w:r>
        <w:rPr>
          <w:rFonts w:ascii="仿宋" w:hAnsi="仿宋" w:eastAsia="仿宋"/>
          <w:color w:val="auto"/>
          <w:sz w:val="32"/>
          <w:szCs w:val="32"/>
          <w:highlight w:val="none"/>
        </w:rPr>
        <w:t>1</w:t>
      </w:r>
      <w:r>
        <w:rPr>
          <w:rFonts w:hint="eastAsia" w:ascii="仿宋" w:hAnsi="仿宋" w:eastAsia="仿宋"/>
          <w:color w:val="auto"/>
          <w:sz w:val="32"/>
          <w:szCs w:val="32"/>
          <w:highlight w:val="none"/>
        </w:rPr>
        <w:t>：收、支决算总计变动情况图）（</w:t>
      </w:r>
      <w:r>
        <w:rPr>
          <w:rFonts w:hint="eastAsia" w:ascii="仿宋" w:hAnsi="仿宋" w:eastAsia="仿宋"/>
          <w:color w:val="auto"/>
          <w:sz w:val="32"/>
          <w:szCs w:val="32"/>
          <w:highlight w:val="none"/>
          <w:lang w:val="en-US" w:eastAsia="zh-CN"/>
        </w:rPr>
        <w:t>柱状</w:t>
      </w:r>
      <w:r>
        <w:rPr>
          <w:rFonts w:hint="eastAsia" w:ascii="仿宋" w:hAnsi="仿宋" w:eastAsia="仿宋"/>
          <w:color w:val="auto"/>
          <w:sz w:val="32"/>
          <w:szCs w:val="32"/>
          <w:highlight w:val="none"/>
        </w:rPr>
        <w:t>图）</w:t>
      </w:r>
    </w:p>
    <w:p>
      <w:pPr>
        <w:pStyle w:val="25"/>
        <w:numPr>
          <w:ilvl w:val="0"/>
          <w:numId w:val="2"/>
        </w:numPr>
        <w:spacing w:line="600" w:lineRule="exact"/>
        <w:ind w:firstLineChars="0"/>
        <w:outlineLvl w:val="1"/>
        <w:rPr>
          <w:rStyle w:val="27"/>
          <w:rFonts w:ascii="黑体" w:hAnsi="黑体" w:eastAsia="黑体"/>
          <w:b w:val="0"/>
          <w:color w:val="auto"/>
          <w:highlight w:val="none"/>
        </w:rPr>
      </w:pPr>
      <w:bookmarkStart w:id="27" w:name="_Toc446"/>
      <w:bookmarkStart w:id="28" w:name="_Toc15396604"/>
      <w:bookmarkStart w:id="29" w:name="_Toc15377206"/>
      <w:r>
        <w:rPr>
          <w:rFonts w:hint="eastAsia" w:ascii="黑体" w:hAnsi="黑体" w:eastAsia="黑体"/>
          <w:color w:val="auto"/>
          <w:sz w:val="32"/>
          <w:szCs w:val="32"/>
          <w:highlight w:val="none"/>
        </w:rPr>
        <w:t>收</w:t>
      </w:r>
      <w:r>
        <w:rPr>
          <w:rStyle w:val="27"/>
          <w:rFonts w:hint="eastAsia" w:ascii="黑体" w:hAnsi="黑体" w:eastAsia="黑体"/>
          <w:b w:val="0"/>
          <w:color w:val="auto"/>
          <w:highlight w:val="none"/>
        </w:rPr>
        <w:t>入决算情况说明</w:t>
      </w:r>
      <w:bookmarkEnd w:id="27"/>
      <w:bookmarkEnd w:id="28"/>
      <w:bookmarkEnd w:id="29"/>
    </w:p>
    <w:p>
      <w:pPr>
        <w:spacing w:line="600" w:lineRule="exact"/>
        <w:ind w:firstLine="640" w:firstLineChars="200"/>
        <w:outlineLvl w:val="1"/>
        <w:rPr>
          <w:rFonts w:ascii="仿宋" w:hAnsi="仿宋" w:eastAsia="仿宋"/>
          <w:color w:val="auto"/>
          <w:sz w:val="32"/>
          <w:szCs w:val="32"/>
          <w:highlight w:val="none"/>
        </w:rPr>
      </w:pPr>
      <w:bookmarkStart w:id="30" w:name="_Toc10882"/>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年本年收入合计</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万元，其中：一般公共预算财政拨款收入</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；政府性基金预算财政拨款收入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国有资本经营预算财政拨款收入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；上级补助收入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；事业收入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；附属单位上缴收入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；其他收入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bookmarkEnd w:id="30"/>
    </w:p>
    <w:p>
      <w:pPr>
        <w:spacing w:line="600" w:lineRule="exact"/>
        <w:jc w:val="center"/>
        <w:rPr>
          <w:rFonts w:hint="eastAsia" w:ascii="仿宋" w:hAnsi="仿宋" w:eastAsia="仿宋"/>
          <w:color w:val="auto"/>
          <w:sz w:val="32"/>
          <w:szCs w:val="32"/>
          <w:highlight w:val="none"/>
        </w:rPr>
      </w:pPr>
    </w:p>
    <w:p>
      <w:pPr>
        <w:spacing w:line="600" w:lineRule="exact"/>
        <w:jc w:val="center"/>
        <w:rPr>
          <w:rFonts w:ascii="仿宋" w:hAnsi="仿宋" w:eastAsia="仿宋"/>
          <w:color w:val="auto"/>
          <w:sz w:val="32"/>
          <w:szCs w:val="32"/>
          <w:highlight w:val="none"/>
        </w:rPr>
      </w:pPr>
      <w:r>
        <w:drawing>
          <wp:anchor distT="0" distB="0" distL="114300" distR="114300" simplePos="0" relativeHeight="251660288" behindDoc="0" locked="0" layoutInCell="1" allowOverlap="1">
            <wp:simplePos x="0" y="0"/>
            <wp:positionH relativeFrom="column">
              <wp:posOffset>0</wp:posOffset>
            </wp:positionH>
            <wp:positionV relativeFrom="paragraph">
              <wp:posOffset>76200</wp:posOffset>
            </wp:positionV>
            <wp:extent cx="5271135" cy="2272030"/>
            <wp:effectExtent l="0" t="0" r="5715" b="13970"/>
            <wp:wrapSquare wrapText="bothSides"/>
            <wp:docPr id="103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Pr>
          <w:rFonts w:hint="eastAsia" w:ascii="仿宋" w:hAnsi="仿宋" w:eastAsia="仿宋"/>
          <w:color w:val="auto"/>
          <w:sz w:val="32"/>
          <w:szCs w:val="32"/>
          <w:highlight w:val="none"/>
        </w:rPr>
        <w:t>（图2：收入决算结构图）（饼状图）</w:t>
      </w:r>
    </w:p>
    <w:p>
      <w:pPr>
        <w:spacing w:line="600" w:lineRule="exact"/>
        <w:ind w:firstLine="640" w:firstLineChars="200"/>
        <w:rPr>
          <w:rFonts w:ascii="仿宋_GB2312" w:eastAsia="仿宋_GB2312"/>
          <w:color w:val="auto"/>
          <w:sz w:val="32"/>
          <w:szCs w:val="32"/>
          <w:highlight w:val="none"/>
        </w:rPr>
      </w:pPr>
    </w:p>
    <w:p>
      <w:pPr>
        <w:pStyle w:val="25"/>
        <w:numPr>
          <w:ilvl w:val="0"/>
          <w:numId w:val="2"/>
        </w:numPr>
        <w:spacing w:line="600" w:lineRule="exact"/>
        <w:ind w:firstLineChars="0"/>
        <w:outlineLvl w:val="1"/>
        <w:rPr>
          <w:rStyle w:val="27"/>
          <w:rFonts w:ascii="黑体" w:hAnsi="黑体" w:eastAsia="黑体"/>
          <w:b w:val="0"/>
          <w:color w:val="auto"/>
          <w:highlight w:val="none"/>
        </w:rPr>
      </w:pPr>
      <w:bookmarkStart w:id="31" w:name="_Toc15377207"/>
      <w:bookmarkStart w:id="32" w:name="_Toc15396605"/>
      <w:bookmarkStart w:id="33" w:name="_Toc32369"/>
      <w:r>
        <w:rPr>
          <w:rFonts w:hint="eastAsia" w:ascii="黑体" w:hAnsi="黑体" w:eastAsia="黑体"/>
          <w:color w:val="auto"/>
          <w:sz w:val="32"/>
          <w:szCs w:val="32"/>
          <w:highlight w:val="none"/>
        </w:rPr>
        <w:t>支</w:t>
      </w:r>
      <w:r>
        <w:rPr>
          <w:rStyle w:val="27"/>
          <w:rFonts w:hint="eastAsia" w:ascii="黑体" w:hAnsi="黑体" w:eastAsia="黑体"/>
          <w:b w:val="0"/>
          <w:color w:val="auto"/>
          <w:highlight w:val="none"/>
        </w:rPr>
        <w:t>出决算情况说明</w:t>
      </w:r>
      <w:bookmarkEnd w:id="31"/>
      <w:bookmarkEnd w:id="32"/>
      <w:bookmarkEnd w:id="33"/>
    </w:p>
    <w:p>
      <w:pPr>
        <w:spacing w:line="600" w:lineRule="exact"/>
        <w:ind w:firstLine="640" w:firstLineChars="200"/>
        <w:outlineLvl w:val="1"/>
        <w:rPr>
          <w:rFonts w:hint="eastAsia" w:ascii="仿宋" w:hAnsi="仿宋" w:eastAsia="仿宋"/>
          <w:color w:val="auto"/>
          <w:sz w:val="32"/>
          <w:szCs w:val="32"/>
          <w:highlight w:val="none"/>
        </w:rPr>
      </w:pPr>
      <w:bookmarkStart w:id="34" w:name="_Toc347"/>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年本年支出合计</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万元，其中：基本支出</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；上缴上级支出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；对附属单位补助支出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bookmarkEnd w:id="34"/>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r>
        <w:drawing>
          <wp:anchor distT="0" distB="0" distL="114300" distR="114300" simplePos="0" relativeHeight="251659264" behindDoc="1" locked="0" layoutInCell="1" allowOverlap="1">
            <wp:simplePos x="0" y="0"/>
            <wp:positionH relativeFrom="column">
              <wp:posOffset>342900</wp:posOffset>
            </wp:positionH>
            <wp:positionV relativeFrom="paragraph">
              <wp:posOffset>219075</wp:posOffset>
            </wp:positionV>
            <wp:extent cx="4813935" cy="2235200"/>
            <wp:effectExtent l="0" t="0" r="5715" b="12700"/>
            <wp:wrapTight wrapText="bothSides">
              <wp:wrapPolygon>
                <wp:start x="0" y="0"/>
                <wp:lineTo x="0" y="21355"/>
                <wp:lineTo x="21540" y="21355"/>
                <wp:lineTo x="21540" y="0"/>
                <wp:lineTo x="0" y="0"/>
              </wp:wrapPolygon>
            </wp:wrapTight>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pStyle w:val="2"/>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spacing w:line="600" w:lineRule="exact"/>
        <w:ind w:firstLine="640" w:firstLineChars="200"/>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（图3：支出决算结构图）（饼状图）</w:t>
      </w:r>
    </w:p>
    <w:p>
      <w:pPr>
        <w:spacing w:line="600" w:lineRule="exact"/>
        <w:ind w:firstLine="640" w:firstLineChars="200"/>
        <w:outlineLvl w:val="1"/>
        <w:rPr>
          <w:rStyle w:val="27"/>
          <w:rFonts w:ascii="黑体" w:hAnsi="黑体" w:eastAsia="黑体"/>
          <w:b w:val="0"/>
          <w:color w:val="auto"/>
          <w:highlight w:val="none"/>
        </w:rPr>
      </w:pPr>
      <w:bookmarkStart w:id="35" w:name="_Toc14217"/>
      <w:bookmarkStart w:id="36" w:name="_Toc15396606"/>
      <w:bookmarkStart w:id="37" w:name="_Toc15377208"/>
      <w:r>
        <w:rPr>
          <w:rFonts w:hint="eastAsia" w:ascii="黑体" w:hAnsi="黑体" w:eastAsia="黑体"/>
          <w:color w:val="auto"/>
          <w:sz w:val="32"/>
          <w:szCs w:val="32"/>
          <w:highlight w:val="none"/>
        </w:rPr>
        <w:t>四、财</w:t>
      </w:r>
      <w:r>
        <w:rPr>
          <w:rStyle w:val="27"/>
          <w:rFonts w:hint="eastAsia" w:ascii="黑体" w:hAnsi="黑体" w:eastAsia="黑体"/>
          <w:b w:val="0"/>
          <w:color w:val="auto"/>
          <w:highlight w:val="none"/>
        </w:rPr>
        <w:t>政拨款收入支出决算总体情况说明</w:t>
      </w:r>
      <w:bookmarkEnd w:id="35"/>
      <w:bookmarkEnd w:id="36"/>
      <w:bookmarkEnd w:id="37"/>
    </w:p>
    <w:p>
      <w:pPr>
        <w:spacing w:line="600" w:lineRule="exact"/>
        <w:ind w:firstLine="640" w:firstLineChars="200"/>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年度财政拨款收</w:t>
      </w:r>
      <w:r>
        <w:rPr>
          <w:rFonts w:hint="eastAsia" w:ascii="仿宋" w:hAnsi="仿宋" w:eastAsia="仿宋"/>
          <w:color w:val="auto"/>
          <w:sz w:val="32"/>
          <w:szCs w:val="32"/>
          <w:highlight w:val="none"/>
          <w:lang w:val="en-US" w:eastAsia="zh-CN"/>
        </w:rPr>
        <w:t>入</w:t>
      </w:r>
      <w:r>
        <w:rPr>
          <w:rFonts w:hint="eastAsia" w:ascii="仿宋" w:hAnsi="仿宋" w:eastAsia="仿宋"/>
          <w:color w:val="auto"/>
          <w:sz w:val="32"/>
          <w:szCs w:val="32"/>
          <w:highlight w:val="none"/>
        </w:rPr>
        <w:t>总计</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万元。与20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年相比减少</w:t>
      </w:r>
      <w:r>
        <w:rPr>
          <w:rFonts w:hint="eastAsia" w:ascii="仿宋" w:hAnsi="仿宋" w:eastAsia="仿宋"/>
          <w:color w:val="auto"/>
          <w:sz w:val="32"/>
          <w:szCs w:val="32"/>
          <w:highlight w:val="none"/>
          <w:lang w:val="en-US" w:eastAsia="zh-CN"/>
        </w:rPr>
        <w:t>3.77</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3.28</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按照市财政要求压减一般性支出预算资金。</w:t>
      </w:r>
    </w:p>
    <w:p>
      <w:pPr>
        <w:snapToGrid w:val="0"/>
        <w:spacing w:line="580" w:lineRule="exact"/>
        <w:ind w:firstLine="640" w:firstLineChars="200"/>
        <w:rPr>
          <w:rFonts w:hint="eastAsia" w:ascii="仿宋_GB2312" w:hAnsi="仿宋" w:eastAsia="仿宋_GB2312"/>
          <w:sz w:val="32"/>
          <w:szCs w:val="32"/>
          <w:lang w:eastAsia="zh-CN"/>
        </w:rPr>
      </w:pP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年度财政拨款</w:t>
      </w:r>
      <w:r>
        <w:rPr>
          <w:rFonts w:hint="eastAsia" w:ascii="仿宋" w:hAnsi="仿宋" w:eastAsia="仿宋"/>
          <w:color w:val="auto"/>
          <w:sz w:val="32"/>
          <w:szCs w:val="32"/>
          <w:highlight w:val="none"/>
          <w:lang w:val="en-US" w:eastAsia="zh-CN"/>
        </w:rPr>
        <w:t>支出</w:t>
      </w:r>
      <w:r>
        <w:rPr>
          <w:rFonts w:hint="eastAsia" w:ascii="仿宋" w:hAnsi="仿宋" w:eastAsia="仿宋"/>
          <w:color w:val="auto"/>
          <w:sz w:val="32"/>
          <w:szCs w:val="32"/>
          <w:highlight w:val="none"/>
        </w:rPr>
        <w:t>总计</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w:t>
      </w:r>
      <w:r>
        <w:rPr>
          <w:rFonts w:hint="eastAsia" w:ascii="仿宋" w:hAnsi="仿宋" w:eastAsia="仿宋"/>
          <w:color w:val="auto"/>
          <w:sz w:val="32"/>
          <w:szCs w:val="32"/>
          <w:highlight w:val="none"/>
          <w:lang w:val="en-US" w:eastAsia="zh-CN"/>
        </w:rPr>
        <w:t>与</w:t>
      </w:r>
      <w:r>
        <w:rPr>
          <w:rFonts w:hint="eastAsia" w:ascii="仿宋" w:hAnsi="仿宋" w:eastAsia="仿宋"/>
          <w:color w:val="000000"/>
          <w:sz w:val="32"/>
          <w:szCs w:val="32"/>
          <w:lang w:val="en-US" w:eastAsia="zh-CN"/>
        </w:rPr>
        <w:t>2021年相比减少6.84</w:t>
      </w:r>
      <w:r>
        <w:rPr>
          <w:rFonts w:hint="eastAsia" w:ascii="仿宋_GB2312" w:hAnsi="仿宋" w:eastAsia="仿宋_GB2312"/>
          <w:sz w:val="32"/>
          <w:szCs w:val="32"/>
          <w:lang w:val="en-US" w:eastAsia="zh-CN"/>
        </w:rPr>
        <w:t>万元，减少5.79%，</w:t>
      </w:r>
      <w:r>
        <w:rPr>
          <w:rFonts w:hint="eastAsia" w:ascii="仿宋_GB2312" w:hAnsi="仿宋" w:eastAsia="仿宋_GB2312"/>
          <w:sz w:val="32"/>
          <w:szCs w:val="32"/>
        </w:rPr>
        <w:t>主要原因是</w:t>
      </w:r>
      <w:r>
        <w:rPr>
          <w:rFonts w:hint="eastAsia" w:ascii="仿宋_GB2312" w:hAnsi="仿宋" w:eastAsia="仿宋_GB2312"/>
          <w:sz w:val="32"/>
          <w:szCs w:val="32"/>
          <w:lang w:val="en-US" w:eastAsia="zh-CN"/>
        </w:rPr>
        <w:t>厉行节约，压减支出，主要减少在职人员的绩效奖以及会议费、维修费、培训费等支出</w:t>
      </w:r>
      <w:r>
        <w:rPr>
          <w:rFonts w:hint="eastAsia" w:ascii="仿宋_GB2312" w:hAnsi="仿宋" w:eastAsia="仿宋_GB2312"/>
          <w:sz w:val="32"/>
          <w:szCs w:val="32"/>
        </w:rPr>
        <w:t>。</w:t>
      </w:r>
    </w:p>
    <w:p>
      <w:pPr>
        <w:spacing w:line="600" w:lineRule="exact"/>
        <w:ind w:firstLine="420" w:firstLineChars="200"/>
        <w:rPr>
          <w:rFonts w:ascii="仿宋" w:hAnsi="仿宋" w:eastAsia="仿宋"/>
          <w:color w:val="auto"/>
          <w:sz w:val="32"/>
          <w:szCs w:val="32"/>
          <w:highlight w:val="none"/>
        </w:rPr>
      </w:pPr>
      <w:r>
        <w:drawing>
          <wp:anchor distT="0" distB="0" distL="114300" distR="114300" simplePos="0" relativeHeight="251661312" behindDoc="0" locked="0" layoutInCell="1" allowOverlap="1">
            <wp:simplePos x="0" y="0"/>
            <wp:positionH relativeFrom="column">
              <wp:posOffset>309245</wp:posOffset>
            </wp:positionH>
            <wp:positionV relativeFrom="paragraph">
              <wp:posOffset>252095</wp:posOffset>
            </wp:positionV>
            <wp:extent cx="4869180" cy="2209165"/>
            <wp:effectExtent l="4445" t="4445" r="22225" b="15240"/>
            <wp:wrapSquare wrapText="bothSides"/>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spacing w:line="600" w:lineRule="exact"/>
        <w:ind w:firstLine="640"/>
        <w:rPr>
          <w:rFonts w:ascii="仿宋" w:hAnsi="仿宋" w:eastAsia="仿宋"/>
          <w:b/>
          <w:color w:val="auto"/>
          <w:sz w:val="32"/>
          <w:szCs w:val="32"/>
          <w:highlight w:val="none"/>
        </w:rPr>
      </w:pPr>
      <w:r>
        <w:drawing>
          <wp:anchor distT="0" distB="0" distL="114300" distR="114300" simplePos="0" relativeHeight="251662336" behindDoc="0" locked="0" layoutInCell="1" allowOverlap="1">
            <wp:simplePos x="0" y="0"/>
            <wp:positionH relativeFrom="column">
              <wp:posOffset>213995</wp:posOffset>
            </wp:positionH>
            <wp:positionV relativeFrom="paragraph">
              <wp:posOffset>109220</wp:posOffset>
            </wp:positionV>
            <wp:extent cx="5271135" cy="2200275"/>
            <wp:effectExtent l="4445" t="4445" r="20320" b="5080"/>
            <wp:wrapSquare wrapText="bothSides"/>
            <wp:docPr id="1039"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rFonts w:hint="eastAsia" w:ascii="仿宋" w:hAnsi="仿宋" w:eastAsia="仿宋"/>
          <w:color w:val="auto"/>
          <w:sz w:val="32"/>
          <w:szCs w:val="32"/>
          <w:highlight w:val="none"/>
        </w:rPr>
        <w:t>（图4：财政拨款收、支决算总计变动情况）（柱状图）</w:t>
      </w:r>
    </w:p>
    <w:p>
      <w:pPr>
        <w:spacing w:line="600" w:lineRule="exact"/>
        <w:ind w:firstLine="640" w:firstLineChars="200"/>
        <w:outlineLvl w:val="1"/>
        <w:rPr>
          <w:rFonts w:hint="eastAsia" w:ascii="黑体" w:hAnsi="黑体" w:eastAsia="黑体"/>
          <w:color w:val="auto"/>
          <w:sz w:val="32"/>
          <w:szCs w:val="32"/>
          <w:highlight w:val="none"/>
        </w:rPr>
      </w:pPr>
      <w:bookmarkStart w:id="38" w:name="_Toc28991"/>
      <w:bookmarkStart w:id="39" w:name="_Toc15377209"/>
      <w:bookmarkStart w:id="40" w:name="_Toc15396607"/>
    </w:p>
    <w:p>
      <w:pPr>
        <w:spacing w:line="600" w:lineRule="exact"/>
        <w:ind w:firstLine="640" w:firstLineChars="200"/>
        <w:outlineLvl w:val="1"/>
        <w:rPr>
          <w:rStyle w:val="27"/>
          <w:rFonts w:ascii="黑体" w:hAnsi="黑体" w:eastAsia="黑体"/>
          <w:b w:val="0"/>
          <w:color w:val="auto"/>
          <w:highlight w:val="none"/>
        </w:rPr>
      </w:pPr>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27"/>
          <w:rFonts w:hint="eastAsia" w:ascii="黑体" w:hAnsi="黑体" w:eastAsia="黑体"/>
          <w:b w:val="0"/>
          <w:color w:val="auto"/>
          <w:highlight w:val="none"/>
        </w:rPr>
        <w:t>般公共预算财政拨款支出决算情况说明</w:t>
      </w:r>
      <w:bookmarkEnd w:id="38"/>
      <w:bookmarkEnd w:id="39"/>
      <w:bookmarkEnd w:id="40"/>
    </w:p>
    <w:p>
      <w:pPr>
        <w:spacing w:line="600" w:lineRule="exact"/>
        <w:ind w:firstLine="643" w:firstLineChars="200"/>
        <w:outlineLvl w:val="2"/>
        <w:rPr>
          <w:rFonts w:ascii="仿宋" w:hAnsi="仿宋" w:eastAsia="仿宋"/>
          <w:b/>
          <w:color w:val="auto"/>
          <w:sz w:val="32"/>
          <w:szCs w:val="32"/>
          <w:highlight w:val="none"/>
        </w:rPr>
      </w:pPr>
      <w:bookmarkStart w:id="41" w:name="_Toc29459"/>
      <w:bookmarkStart w:id="42" w:name="_Toc15377210"/>
      <w:r>
        <w:rPr>
          <w:rFonts w:hint="eastAsia" w:ascii="仿宋" w:hAnsi="仿宋" w:eastAsia="仿宋"/>
          <w:b/>
          <w:color w:val="auto"/>
          <w:sz w:val="32"/>
          <w:szCs w:val="32"/>
          <w:highlight w:val="none"/>
        </w:rPr>
        <w:t>（一）一般公共预算财政拨款支出决算总体情况</w:t>
      </w:r>
      <w:bookmarkEnd w:id="41"/>
      <w:bookmarkEnd w:id="42"/>
    </w:p>
    <w:p>
      <w:pPr>
        <w:snapToGrid w:val="0"/>
        <w:spacing w:line="580" w:lineRule="exact"/>
        <w:ind w:firstLine="420" w:firstLineChars="200"/>
        <w:rPr>
          <w:rFonts w:hint="eastAsia" w:ascii="仿宋_GB2312" w:hAnsi="仿宋" w:eastAsia="仿宋_GB2312"/>
          <w:sz w:val="32"/>
          <w:szCs w:val="32"/>
          <w:lang w:eastAsia="zh-CN"/>
        </w:rPr>
      </w:pPr>
      <w:r>
        <w:drawing>
          <wp:anchor distT="0" distB="0" distL="114300" distR="114300" simplePos="0" relativeHeight="251663360" behindDoc="0" locked="0" layoutInCell="1" allowOverlap="1">
            <wp:simplePos x="0" y="0"/>
            <wp:positionH relativeFrom="column">
              <wp:posOffset>261620</wp:posOffset>
            </wp:positionH>
            <wp:positionV relativeFrom="paragraph">
              <wp:posOffset>1782445</wp:posOffset>
            </wp:positionV>
            <wp:extent cx="5274310" cy="2645410"/>
            <wp:effectExtent l="4445" t="4445" r="17145" b="17145"/>
            <wp:wrapSquare wrapText="bothSides"/>
            <wp:docPr id="104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年相比，一般公共预算财政拨款</w:t>
      </w:r>
      <w:r>
        <w:rPr>
          <w:rFonts w:hint="eastAsia" w:ascii="仿宋" w:hAnsi="仿宋" w:eastAsia="仿宋"/>
          <w:color w:val="auto"/>
          <w:sz w:val="32"/>
          <w:szCs w:val="32"/>
          <w:highlight w:val="none"/>
          <w:lang w:eastAsia="zh-CN"/>
        </w:rPr>
        <w:t>支出</w:t>
      </w:r>
      <w:r>
        <w:rPr>
          <w:rFonts w:hint="eastAsia" w:ascii="仿宋" w:hAnsi="仿宋" w:eastAsia="仿宋"/>
          <w:color w:val="auto"/>
          <w:sz w:val="32"/>
          <w:szCs w:val="32"/>
          <w:highlight w:val="none"/>
        </w:rPr>
        <w:t>减少</w:t>
      </w:r>
      <w:r>
        <w:rPr>
          <w:rFonts w:hint="eastAsia" w:ascii="仿宋" w:hAnsi="仿宋" w:eastAsia="仿宋"/>
          <w:color w:val="000000"/>
          <w:sz w:val="32"/>
          <w:szCs w:val="32"/>
          <w:lang w:val="en-US" w:eastAsia="zh-CN"/>
        </w:rPr>
        <w:t>6.84</w:t>
      </w:r>
      <w:r>
        <w:rPr>
          <w:rFonts w:hint="eastAsia" w:ascii="仿宋" w:hAnsi="仿宋" w:eastAsia="仿宋"/>
          <w:color w:val="auto"/>
          <w:sz w:val="32"/>
          <w:szCs w:val="32"/>
          <w:highlight w:val="none"/>
        </w:rPr>
        <w:t>万元，下降</w:t>
      </w:r>
      <w:r>
        <w:rPr>
          <w:rFonts w:hint="eastAsia" w:ascii="仿宋_GB2312" w:hAnsi="仿宋" w:eastAsia="仿宋_GB2312"/>
          <w:sz w:val="32"/>
          <w:szCs w:val="32"/>
          <w:lang w:val="en-US" w:eastAsia="zh-CN"/>
        </w:rPr>
        <w:t>5.79</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_GB2312" w:hAnsi="仿宋" w:eastAsia="仿宋_GB2312"/>
          <w:sz w:val="32"/>
          <w:szCs w:val="32"/>
        </w:rPr>
        <w:t>主要原因是</w:t>
      </w:r>
      <w:r>
        <w:rPr>
          <w:rFonts w:hint="eastAsia" w:ascii="仿宋_GB2312" w:hAnsi="仿宋" w:eastAsia="仿宋_GB2312"/>
          <w:sz w:val="32"/>
          <w:szCs w:val="32"/>
          <w:lang w:val="en-US" w:eastAsia="zh-CN"/>
        </w:rPr>
        <w:t>厉行节约，压减支出，主要减少在职人员的绩效奖以及会议费、维修费、培训费等支出</w:t>
      </w:r>
      <w:r>
        <w:rPr>
          <w:rFonts w:hint="eastAsia" w:ascii="仿宋_GB2312" w:hAnsi="仿宋" w:eastAsia="仿宋_GB2312"/>
          <w:sz w:val="32"/>
          <w:szCs w:val="32"/>
        </w:rPr>
        <w:t>。</w:t>
      </w:r>
    </w:p>
    <w:p>
      <w:pPr>
        <w:spacing w:line="600" w:lineRule="exact"/>
        <w:rPr>
          <w:rFonts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（图5：一般公共预算财政拨款支出决算变动情况）（柱状图）</w:t>
      </w:r>
    </w:p>
    <w:p>
      <w:pPr>
        <w:spacing w:line="600" w:lineRule="exact"/>
        <w:ind w:firstLine="643" w:firstLineChars="200"/>
        <w:outlineLvl w:val="2"/>
        <w:rPr>
          <w:rFonts w:ascii="仿宋" w:hAnsi="仿宋" w:eastAsia="仿宋"/>
          <w:b/>
          <w:color w:val="auto"/>
          <w:sz w:val="32"/>
          <w:szCs w:val="32"/>
          <w:highlight w:val="none"/>
        </w:rPr>
      </w:pPr>
      <w:bookmarkStart w:id="43" w:name="_Toc19874"/>
      <w:bookmarkStart w:id="44" w:name="_Toc15377211"/>
      <w:r>
        <w:rPr>
          <w:rFonts w:hint="eastAsia" w:ascii="仿宋" w:hAnsi="仿宋" w:eastAsia="仿宋"/>
          <w:b/>
          <w:color w:val="auto"/>
          <w:sz w:val="32"/>
          <w:szCs w:val="32"/>
          <w:highlight w:val="none"/>
        </w:rPr>
        <w:t>（二）一般公共预算财政拨款支出决算结构情况</w:t>
      </w:r>
      <w:bookmarkEnd w:id="43"/>
      <w:bookmarkEnd w:id="44"/>
    </w:p>
    <w:p>
      <w:pPr>
        <w:spacing w:line="600" w:lineRule="exact"/>
        <w:ind w:firstLine="640"/>
        <w:rPr>
          <w:rFonts w:hint="eastAsia" w:ascii="仿宋" w:hAnsi="仿宋" w:eastAsia="仿宋"/>
          <w:color w:val="auto"/>
          <w:sz w:val="32"/>
          <w:szCs w:val="32"/>
          <w:highlight w:val="none"/>
          <w:lang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年一般公共预算财政拨款支出</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万元，主要用于以下方面</w:t>
      </w:r>
      <w:r>
        <w:rPr>
          <w:rFonts w:ascii="仿宋" w:hAnsi="仿宋" w:eastAsia="仿宋"/>
          <w:color w:val="auto"/>
          <w:sz w:val="32"/>
          <w:szCs w:val="32"/>
          <w:highlight w:val="none"/>
        </w:rPr>
        <w:t>:</w:t>
      </w:r>
      <w:r>
        <w:rPr>
          <w:rFonts w:hint="eastAsia" w:ascii="仿宋" w:hAnsi="仿宋" w:eastAsia="仿宋"/>
          <w:b/>
          <w:color w:val="auto"/>
          <w:sz w:val="32"/>
          <w:szCs w:val="32"/>
          <w:highlight w:val="none"/>
        </w:rPr>
        <w:t>一般公共服务</w:t>
      </w:r>
      <w:r>
        <w:rPr>
          <w:rFonts w:hint="eastAsia" w:ascii="仿宋" w:hAnsi="仿宋" w:eastAsia="仿宋"/>
          <w:b/>
          <w:bCs/>
          <w:color w:val="auto"/>
          <w:sz w:val="32"/>
          <w:szCs w:val="32"/>
          <w:highlight w:val="none"/>
        </w:rPr>
        <w:t>支出</w:t>
      </w:r>
      <w:r>
        <w:rPr>
          <w:rFonts w:hint="eastAsia" w:ascii="仿宋" w:hAnsi="仿宋" w:eastAsia="仿宋"/>
          <w:b/>
          <w:bCs/>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教育支出</w:t>
      </w:r>
      <w:r>
        <w:rPr>
          <w:rFonts w:hint="eastAsia" w:ascii="仿宋" w:hAnsi="仿宋" w:eastAsia="仿宋"/>
          <w:b/>
          <w:color w:val="auto"/>
          <w:sz w:val="32"/>
          <w:szCs w:val="32"/>
          <w:highlight w:val="none"/>
          <w:lang w:val="en-US" w:eastAsia="zh-CN"/>
        </w:rPr>
        <w:t>0.1</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0.09</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科学技术</w:t>
      </w:r>
      <w:r>
        <w:rPr>
          <w:rFonts w:hint="eastAsia" w:ascii="仿宋" w:hAnsi="仿宋" w:eastAsia="仿宋"/>
          <w:b/>
          <w:bCs/>
          <w:color w:val="auto"/>
          <w:sz w:val="32"/>
          <w:szCs w:val="32"/>
          <w:highlight w:val="none"/>
        </w:rPr>
        <w:t>支出</w:t>
      </w:r>
      <w:r>
        <w:rPr>
          <w:rFonts w:hint="eastAsia" w:ascii="仿宋" w:hAnsi="仿宋" w:eastAsia="仿宋"/>
          <w:b/>
          <w:bCs/>
          <w:color w:val="auto"/>
          <w:sz w:val="32"/>
          <w:szCs w:val="32"/>
          <w:highlight w:val="none"/>
          <w:lang w:val="en-US" w:eastAsia="zh-CN"/>
        </w:rPr>
        <w:t>89.6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80.58</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文化旅游体育与传媒支出</w:t>
      </w:r>
      <w:r>
        <w:rPr>
          <w:rFonts w:hint="eastAsia" w:ascii="仿宋" w:hAnsi="仿宋" w:eastAsia="仿宋"/>
          <w:b/>
          <w:bCs/>
          <w:color w:val="auto"/>
          <w:sz w:val="32"/>
          <w:szCs w:val="32"/>
          <w:highlight w:val="none"/>
          <w:lang w:val="en-US" w:eastAsia="zh-CN"/>
        </w:rPr>
        <w:t>0</w:t>
      </w:r>
      <w:r>
        <w:rPr>
          <w:rFonts w:hint="eastAsia" w:ascii="仿宋" w:hAnsi="仿宋" w:eastAsia="仿宋"/>
          <w:b/>
          <w:bCs/>
          <w:color w:val="auto"/>
          <w:sz w:val="32"/>
          <w:szCs w:val="32"/>
          <w:highlight w:val="none"/>
        </w:rPr>
        <w:t>万元，占</w:t>
      </w:r>
      <w:r>
        <w:rPr>
          <w:rFonts w:hint="eastAsia" w:ascii="仿宋" w:hAnsi="仿宋" w:eastAsia="仿宋"/>
          <w:b/>
          <w:bCs/>
          <w:color w:val="auto"/>
          <w:sz w:val="32"/>
          <w:szCs w:val="32"/>
          <w:highlight w:val="none"/>
          <w:lang w:val="en-US" w:eastAsia="zh-CN"/>
        </w:rPr>
        <w:t>0</w:t>
      </w:r>
      <w:r>
        <w:rPr>
          <w:rFonts w:ascii="仿宋" w:hAnsi="仿宋" w:eastAsia="仿宋"/>
          <w:b/>
          <w:bCs/>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社会保障和就业</w:t>
      </w:r>
      <w:r>
        <w:rPr>
          <w:rFonts w:hint="eastAsia" w:ascii="仿宋" w:hAnsi="仿宋" w:eastAsia="仿宋"/>
          <w:b/>
          <w:bCs/>
          <w:color w:val="auto"/>
          <w:sz w:val="32"/>
          <w:szCs w:val="32"/>
          <w:highlight w:val="none"/>
        </w:rPr>
        <w:t>支出</w:t>
      </w:r>
      <w:r>
        <w:rPr>
          <w:rFonts w:hint="eastAsia" w:ascii="仿宋" w:hAnsi="仿宋" w:eastAsia="仿宋"/>
          <w:b/>
          <w:bCs/>
          <w:color w:val="auto"/>
          <w:sz w:val="32"/>
          <w:szCs w:val="32"/>
          <w:highlight w:val="none"/>
          <w:lang w:val="en-US" w:eastAsia="zh-CN"/>
        </w:rPr>
        <w:t>8.66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7.79</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卫生健康支出</w:t>
      </w:r>
      <w:r>
        <w:rPr>
          <w:rFonts w:hint="eastAsia" w:ascii="仿宋" w:hAnsi="仿宋" w:eastAsia="仿宋"/>
          <w:b/>
          <w:bCs/>
          <w:color w:val="auto"/>
          <w:sz w:val="32"/>
          <w:szCs w:val="32"/>
          <w:highlight w:val="none"/>
          <w:lang w:val="en-US" w:eastAsia="zh-CN"/>
        </w:rPr>
        <w:t>5.72</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5.14</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住房保障支出</w:t>
      </w:r>
      <w:r>
        <w:rPr>
          <w:rFonts w:hint="eastAsia" w:ascii="仿宋" w:hAnsi="仿宋" w:eastAsia="仿宋"/>
          <w:color w:val="auto"/>
          <w:sz w:val="32"/>
          <w:szCs w:val="32"/>
          <w:highlight w:val="none"/>
          <w:lang w:val="en-US" w:eastAsia="zh-CN"/>
        </w:rPr>
        <w:t>7.12</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6.4</w:t>
      </w:r>
      <w:r>
        <w:rPr>
          <w:rFonts w:ascii="仿宋" w:hAnsi="仿宋" w:eastAsia="仿宋"/>
          <w:color w:val="auto"/>
          <w:sz w:val="32"/>
          <w:szCs w:val="32"/>
          <w:highlight w:val="none"/>
        </w:rPr>
        <w:t>%</w:t>
      </w:r>
      <w:r>
        <w:rPr>
          <w:rFonts w:hint="eastAsia" w:ascii="仿宋" w:hAnsi="仿宋" w:eastAsia="仿宋"/>
          <w:color w:val="auto"/>
          <w:sz w:val="32"/>
          <w:szCs w:val="32"/>
          <w:highlight w:val="none"/>
          <w:lang w:eastAsia="zh-CN"/>
        </w:rPr>
        <w:t>。</w:t>
      </w:r>
    </w:p>
    <w:p>
      <w:pPr>
        <w:spacing w:line="600" w:lineRule="exact"/>
        <w:ind w:firstLine="420" w:firstLineChars="200"/>
        <w:rPr>
          <w:rFonts w:ascii="仿宋" w:hAnsi="仿宋" w:eastAsia="仿宋"/>
          <w:color w:val="auto"/>
          <w:sz w:val="32"/>
          <w:szCs w:val="32"/>
          <w:highlight w:val="none"/>
        </w:rPr>
      </w:pPr>
      <w:r>
        <w:drawing>
          <wp:anchor distT="0" distB="0" distL="114300" distR="114300" simplePos="0" relativeHeight="251664384" behindDoc="0" locked="0" layoutInCell="1" allowOverlap="1">
            <wp:simplePos x="0" y="0"/>
            <wp:positionH relativeFrom="column">
              <wp:posOffset>80645</wp:posOffset>
            </wp:positionH>
            <wp:positionV relativeFrom="paragraph">
              <wp:posOffset>175895</wp:posOffset>
            </wp:positionV>
            <wp:extent cx="5272405" cy="2143760"/>
            <wp:effectExtent l="4445" t="4445" r="19050" b="23495"/>
            <wp:wrapSquare wrapText="bothSides"/>
            <wp:docPr id="104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Pr>
          <w:rFonts w:hint="eastAsia" w:ascii="仿宋" w:hAnsi="仿宋" w:eastAsia="仿宋"/>
          <w:color w:val="auto"/>
          <w:sz w:val="32"/>
          <w:szCs w:val="32"/>
          <w:highlight w:val="none"/>
        </w:rPr>
        <w:t>（图6：一般公共预算财政拨款支出决算结构）（饼状图）</w:t>
      </w:r>
    </w:p>
    <w:p>
      <w:pPr>
        <w:spacing w:line="600" w:lineRule="exact"/>
        <w:ind w:firstLine="643" w:firstLineChars="200"/>
        <w:outlineLvl w:val="2"/>
        <w:rPr>
          <w:rFonts w:ascii="仿宋" w:hAnsi="仿宋" w:eastAsia="仿宋"/>
          <w:b/>
          <w:color w:val="auto"/>
          <w:sz w:val="32"/>
          <w:szCs w:val="32"/>
          <w:highlight w:val="none"/>
        </w:rPr>
      </w:pPr>
      <w:bookmarkStart w:id="45" w:name="_Toc5888"/>
      <w:bookmarkStart w:id="46" w:name="_Toc15377212"/>
      <w:r>
        <w:rPr>
          <w:rFonts w:hint="eastAsia" w:ascii="仿宋" w:hAnsi="仿宋" w:eastAsia="仿宋"/>
          <w:b/>
          <w:color w:val="auto"/>
          <w:sz w:val="32"/>
          <w:szCs w:val="32"/>
          <w:highlight w:val="none"/>
        </w:rPr>
        <w:t>（三）一般公共预算财政拨款支出决算具体情况</w:t>
      </w:r>
      <w:bookmarkEnd w:id="45"/>
      <w:bookmarkEnd w:id="46"/>
    </w:p>
    <w:p>
      <w:pPr>
        <w:spacing w:line="600" w:lineRule="exact"/>
        <w:ind w:firstLine="643" w:firstLineChars="200"/>
        <w:outlineLvl w:val="2"/>
        <w:rPr>
          <w:rFonts w:ascii="仿宋" w:hAnsi="仿宋" w:eastAsia="仿宋"/>
          <w:color w:val="auto"/>
          <w:sz w:val="32"/>
          <w:szCs w:val="32"/>
          <w:highlight w:val="none"/>
        </w:rPr>
      </w:pPr>
      <w:bookmarkStart w:id="47" w:name="_Toc15378460"/>
      <w:bookmarkStart w:id="48" w:name="_Toc1078"/>
      <w:bookmarkStart w:id="49" w:name="_Toc15377444"/>
      <w:bookmarkStart w:id="50" w:name="_Toc15377213"/>
      <w:r>
        <w:rPr>
          <w:rFonts w:hint="eastAsia" w:ascii="仿宋" w:hAnsi="仿宋" w:eastAsia="仿宋"/>
          <w:b/>
          <w:color w:val="auto"/>
          <w:sz w:val="32"/>
          <w:szCs w:val="32"/>
          <w:highlight w:val="none"/>
        </w:rPr>
        <w:t>20</w:t>
      </w:r>
      <w:r>
        <w:rPr>
          <w:rFonts w:hint="eastAsia" w:ascii="仿宋" w:hAnsi="仿宋" w:eastAsia="仿宋"/>
          <w:b/>
          <w:color w:val="auto"/>
          <w:sz w:val="32"/>
          <w:szCs w:val="32"/>
          <w:highlight w:val="none"/>
          <w:lang w:val="en-US" w:eastAsia="zh-CN"/>
        </w:rPr>
        <w:t>22</w:t>
      </w:r>
      <w:r>
        <w:rPr>
          <w:rFonts w:hint="eastAsia" w:ascii="仿宋" w:hAnsi="仿宋" w:eastAsia="仿宋"/>
          <w:b/>
          <w:color w:val="auto"/>
          <w:sz w:val="32"/>
          <w:szCs w:val="32"/>
          <w:highlight w:val="none"/>
        </w:rPr>
        <w:t>年</w:t>
      </w:r>
      <w:r>
        <w:rPr>
          <w:rFonts w:hint="eastAsia" w:ascii="仿宋" w:hAnsi="仿宋" w:eastAsia="仿宋"/>
          <w:b/>
          <w:color w:val="auto"/>
          <w:sz w:val="32"/>
          <w:szCs w:val="32"/>
          <w:highlight w:val="none"/>
          <w:lang w:eastAsia="zh-CN"/>
        </w:rPr>
        <w:t>一</w:t>
      </w:r>
      <w:r>
        <w:rPr>
          <w:rFonts w:hint="eastAsia" w:ascii="仿宋" w:hAnsi="仿宋" w:eastAsia="仿宋"/>
          <w:b/>
          <w:color w:val="auto"/>
          <w:sz w:val="32"/>
          <w:szCs w:val="32"/>
          <w:highlight w:val="none"/>
        </w:rPr>
        <w:t>般公共预算支出决算数为</w:t>
      </w:r>
      <w:r>
        <w:rPr>
          <w:rFonts w:hint="eastAsia" w:ascii="仿宋" w:hAnsi="仿宋" w:eastAsia="仿宋"/>
          <w:b/>
          <w:color w:val="auto"/>
          <w:sz w:val="32"/>
          <w:szCs w:val="32"/>
          <w:highlight w:val="none"/>
          <w:lang w:val="en-US" w:eastAsia="zh-CN"/>
        </w:rPr>
        <w:t>111.2万元</w:t>
      </w:r>
      <w:r>
        <w:rPr>
          <w:rFonts w:hint="eastAsia" w:ascii="仿宋" w:hAnsi="仿宋" w:eastAsia="仿宋"/>
          <w:color w:val="auto"/>
          <w:sz w:val="32"/>
          <w:szCs w:val="32"/>
          <w:highlight w:val="none"/>
        </w:rPr>
        <w:t>，</w:t>
      </w:r>
      <w:r>
        <w:rPr>
          <w:rStyle w:val="16"/>
          <w:rFonts w:hint="eastAsia" w:ascii="仿宋" w:hAnsi="仿宋" w:eastAsia="仿宋"/>
          <w:bCs/>
          <w:color w:val="auto"/>
          <w:sz w:val="32"/>
          <w:szCs w:val="32"/>
          <w:highlight w:val="none"/>
        </w:rPr>
        <w:t>完成预算</w:t>
      </w:r>
      <w:r>
        <w:rPr>
          <w:rStyle w:val="16"/>
          <w:rFonts w:hint="eastAsia" w:ascii="仿宋" w:hAnsi="仿宋" w:eastAsia="仿宋"/>
          <w:bCs/>
          <w:color w:val="auto"/>
          <w:sz w:val="32"/>
          <w:szCs w:val="32"/>
          <w:highlight w:val="none"/>
          <w:lang w:val="en-US" w:eastAsia="zh-CN"/>
        </w:rPr>
        <w:t>100</w:t>
      </w:r>
      <w:r>
        <w:rPr>
          <w:rStyle w:val="16"/>
          <w:rFonts w:ascii="仿宋" w:hAnsi="仿宋" w:eastAsia="仿宋"/>
          <w:bCs/>
          <w:color w:val="auto"/>
          <w:sz w:val="32"/>
          <w:szCs w:val="32"/>
          <w:highlight w:val="none"/>
        </w:rPr>
        <w:t>%</w:t>
      </w:r>
      <w:r>
        <w:rPr>
          <w:rStyle w:val="16"/>
          <w:rFonts w:hint="eastAsia" w:ascii="仿宋" w:hAnsi="仿宋" w:eastAsia="仿宋"/>
          <w:bCs/>
          <w:color w:val="auto"/>
          <w:sz w:val="32"/>
          <w:szCs w:val="32"/>
          <w:highlight w:val="none"/>
        </w:rPr>
        <w:t>。其中：</w:t>
      </w:r>
      <w:bookmarkEnd w:id="47"/>
      <w:bookmarkEnd w:id="48"/>
      <w:bookmarkEnd w:id="49"/>
      <w:bookmarkEnd w:id="50"/>
    </w:p>
    <w:p>
      <w:pPr>
        <w:numPr>
          <w:ilvl w:val="0"/>
          <w:numId w:val="3"/>
        </w:numPr>
        <w:spacing w:line="600" w:lineRule="exact"/>
        <w:ind w:firstLine="643" w:firstLineChars="200"/>
        <w:rPr>
          <w:rFonts w:ascii="仿宋" w:hAnsi="仿宋" w:eastAsia="仿宋"/>
          <w:b/>
          <w:color w:val="auto"/>
          <w:sz w:val="32"/>
          <w:szCs w:val="32"/>
          <w:highlight w:val="none"/>
        </w:rPr>
      </w:pPr>
      <w:r>
        <w:rPr>
          <w:rStyle w:val="16"/>
          <w:rFonts w:hint="eastAsia" w:ascii="仿宋" w:hAnsi="仿宋" w:eastAsia="仿宋"/>
          <w:bCs/>
          <w:color w:val="auto"/>
          <w:sz w:val="32"/>
          <w:szCs w:val="32"/>
          <w:highlight w:val="none"/>
        </w:rPr>
        <w:t>教育（类）</w:t>
      </w:r>
      <w:r>
        <w:rPr>
          <w:rFonts w:hint="eastAsia" w:ascii="仿宋_GB2312" w:hAnsi="仿宋_GB2312" w:eastAsia="仿宋_GB2312" w:cs="仿宋_GB2312"/>
          <w:b/>
          <w:bCs w:val="0"/>
          <w:color w:val="000000"/>
          <w:sz w:val="32"/>
          <w:szCs w:val="32"/>
        </w:rPr>
        <w:t>进修及培训</w:t>
      </w:r>
      <w:r>
        <w:rPr>
          <w:rStyle w:val="16"/>
          <w:rFonts w:hint="eastAsia" w:ascii="仿宋" w:hAnsi="仿宋" w:eastAsia="仿宋"/>
          <w:bCs/>
          <w:color w:val="auto"/>
          <w:sz w:val="32"/>
          <w:szCs w:val="32"/>
          <w:highlight w:val="none"/>
        </w:rPr>
        <w:t>（款）</w:t>
      </w:r>
      <w:r>
        <w:rPr>
          <w:rFonts w:hint="eastAsia" w:ascii="仿宋_GB2312" w:hAnsi="仿宋_GB2312" w:eastAsia="仿宋_GB2312" w:cs="仿宋_GB2312"/>
          <w:b/>
          <w:bCs w:val="0"/>
          <w:color w:val="000000"/>
          <w:sz w:val="32"/>
          <w:szCs w:val="32"/>
        </w:rPr>
        <w:t>培训支出</w:t>
      </w:r>
      <w:r>
        <w:rPr>
          <w:rStyle w:val="16"/>
          <w:rFonts w:hint="eastAsia" w:ascii="仿宋" w:hAnsi="仿宋" w:eastAsia="仿宋"/>
          <w:bCs/>
          <w:color w:val="auto"/>
          <w:sz w:val="32"/>
          <w:szCs w:val="32"/>
          <w:highlight w:val="none"/>
        </w:rPr>
        <w:t>（项）</w:t>
      </w:r>
      <w:r>
        <w:rPr>
          <w:rStyle w:val="16"/>
          <w:rFonts w:ascii="仿宋" w:hAnsi="仿宋" w:eastAsia="仿宋"/>
          <w:bCs/>
          <w:color w:val="auto"/>
          <w:sz w:val="32"/>
          <w:szCs w:val="32"/>
          <w:highlight w:val="none"/>
        </w:rPr>
        <w:t>:</w:t>
      </w:r>
      <w:r>
        <w:rPr>
          <w:rStyle w:val="16"/>
          <w:rFonts w:ascii="仿宋" w:hAnsi="仿宋" w:eastAsia="仿宋"/>
          <w:b w:val="0"/>
          <w:bCs/>
          <w:color w:val="auto"/>
          <w:sz w:val="32"/>
          <w:szCs w:val="32"/>
          <w:highlight w:val="none"/>
        </w:rPr>
        <w:t xml:space="preserve"> </w:t>
      </w:r>
      <w:r>
        <w:rPr>
          <w:rStyle w:val="16"/>
          <w:rFonts w:hint="eastAsia" w:ascii="仿宋" w:hAnsi="仿宋" w:eastAsia="仿宋"/>
          <w:b w:val="0"/>
          <w:bCs/>
          <w:color w:val="auto"/>
          <w:sz w:val="32"/>
          <w:szCs w:val="32"/>
          <w:highlight w:val="none"/>
        </w:rPr>
        <w:t>支出决算为</w:t>
      </w:r>
      <w:r>
        <w:rPr>
          <w:rStyle w:val="16"/>
          <w:rFonts w:hint="eastAsia" w:ascii="仿宋" w:hAnsi="仿宋" w:eastAsia="仿宋"/>
          <w:b w:val="0"/>
          <w:bCs/>
          <w:color w:val="auto"/>
          <w:sz w:val="32"/>
          <w:szCs w:val="32"/>
          <w:highlight w:val="none"/>
          <w:lang w:val="en-US" w:eastAsia="zh-CN"/>
        </w:rPr>
        <w:t>0.1</w:t>
      </w:r>
      <w:r>
        <w:rPr>
          <w:rStyle w:val="16"/>
          <w:rFonts w:hint="eastAsia" w:ascii="仿宋" w:hAnsi="仿宋" w:eastAsia="仿宋"/>
          <w:b w:val="0"/>
          <w:bCs/>
          <w:color w:val="auto"/>
          <w:sz w:val="32"/>
          <w:szCs w:val="32"/>
          <w:highlight w:val="none"/>
        </w:rPr>
        <w:t>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3" w:firstLineChars="200"/>
        <w:rPr>
          <w:rFonts w:ascii="仿宋" w:hAnsi="仿宋" w:eastAsia="仿宋"/>
          <w:b/>
          <w:color w:val="auto"/>
          <w:sz w:val="32"/>
          <w:szCs w:val="32"/>
          <w:highlight w:val="none"/>
        </w:rPr>
      </w:pPr>
      <w:r>
        <w:rPr>
          <w:rStyle w:val="16"/>
          <w:rFonts w:hint="eastAsia" w:ascii="仿宋" w:hAnsi="仿宋" w:eastAsia="仿宋"/>
          <w:bCs/>
          <w:color w:val="auto"/>
          <w:sz w:val="32"/>
          <w:szCs w:val="32"/>
          <w:highlight w:val="none"/>
          <w:lang w:val="en-US" w:eastAsia="zh-CN"/>
        </w:rPr>
        <w:t>2</w:t>
      </w:r>
      <w:r>
        <w:rPr>
          <w:rStyle w:val="16"/>
          <w:rFonts w:ascii="仿宋" w:hAnsi="仿宋" w:eastAsia="仿宋"/>
          <w:bCs/>
          <w:color w:val="auto"/>
          <w:sz w:val="32"/>
          <w:szCs w:val="32"/>
          <w:highlight w:val="none"/>
        </w:rPr>
        <w:t>.</w:t>
      </w:r>
      <w:r>
        <w:rPr>
          <w:rFonts w:hint="eastAsia" w:ascii="仿宋_GB2312" w:hAnsi="仿宋" w:eastAsia="仿宋_GB2312" w:cs="Times New Roman"/>
          <w:b/>
          <w:bCs/>
          <w:color w:val="000000"/>
          <w:sz w:val="32"/>
          <w:szCs w:val="32"/>
          <w:lang w:eastAsia="zh-CN"/>
        </w:rPr>
        <w:t>科学技术支出（类）科学技术普及（款）机构运行（项）:</w:t>
      </w:r>
      <w:r>
        <w:rPr>
          <w:rStyle w:val="16"/>
          <w:rFonts w:hint="eastAsia" w:ascii="仿宋" w:hAnsi="仿宋" w:eastAsia="仿宋"/>
          <w:b w:val="0"/>
          <w:bCs/>
          <w:color w:val="auto"/>
          <w:sz w:val="32"/>
          <w:szCs w:val="32"/>
          <w:highlight w:val="none"/>
        </w:rPr>
        <w:t>支出决算为</w:t>
      </w:r>
      <w:r>
        <w:rPr>
          <w:rStyle w:val="16"/>
          <w:rFonts w:hint="eastAsia" w:ascii="仿宋" w:hAnsi="仿宋" w:eastAsia="仿宋"/>
          <w:b w:val="0"/>
          <w:bCs/>
          <w:color w:val="auto"/>
          <w:sz w:val="32"/>
          <w:szCs w:val="32"/>
          <w:highlight w:val="none"/>
          <w:lang w:val="en-US" w:eastAsia="zh-CN"/>
        </w:rPr>
        <w:t>89.6</w:t>
      </w:r>
      <w:r>
        <w:rPr>
          <w:rStyle w:val="16"/>
          <w:rFonts w:hint="eastAsia" w:ascii="仿宋" w:hAnsi="仿宋" w:eastAsia="仿宋"/>
          <w:b w:val="0"/>
          <w:bCs/>
          <w:color w:val="auto"/>
          <w:sz w:val="32"/>
          <w:szCs w:val="32"/>
          <w:highlight w:val="none"/>
        </w:rPr>
        <w:t>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lang w:val="en-US" w:eastAsia="zh-CN"/>
        </w:rPr>
        <w:t>。</w:t>
      </w:r>
    </w:p>
    <w:p>
      <w:pPr>
        <w:spacing w:line="600" w:lineRule="exact"/>
        <w:ind w:firstLine="643" w:firstLineChars="200"/>
        <w:rPr>
          <w:rStyle w:val="16"/>
          <w:rFonts w:hint="eastAsia" w:ascii="仿宋" w:hAnsi="仿宋" w:eastAsia="仿宋"/>
          <w:b w:val="0"/>
          <w:bCs/>
          <w:color w:val="auto"/>
          <w:sz w:val="32"/>
          <w:szCs w:val="32"/>
          <w:highlight w:val="none"/>
        </w:rPr>
      </w:pPr>
      <w:r>
        <w:rPr>
          <w:rStyle w:val="16"/>
          <w:rFonts w:hint="eastAsia" w:ascii="仿宋" w:hAnsi="仿宋" w:eastAsia="仿宋"/>
          <w:bCs/>
          <w:color w:val="auto"/>
          <w:sz w:val="32"/>
          <w:szCs w:val="32"/>
          <w:highlight w:val="none"/>
          <w:lang w:val="en-US" w:eastAsia="zh-CN"/>
        </w:rPr>
        <w:t>3</w:t>
      </w:r>
      <w:r>
        <w:rPr>
          <w:rStyle w:val="16"/>
          <w:rFonts w:ascii="仿宋" w:hAnsi="仿宋" w:eastAsia="仿宋"/>
          <w:bCs/>
          <w:color w:val="auto"/>
          <w:sz w:val="32"/>
          <w:szCs w:val="32"/>
          <w:highlight w:val="none"/>
        </w:rPr>
        <w:t>.</w:t>
      </w:r>
      <w:r>
        <w:rPr>
          <w:rStyle w:val="16"/>
          <w:rFonts w:ascii="仿宋" w:hAnsi="仿宋" w:eastAsia="仿宋"/>
          <w:b w:val="0"/>
          <w:bCs/>
          <w:color w:val="auto"/>
          <w:sz w:val="32"/>
          <w:szCs w:val="32"/>
          <w:highlight w:val="none"/>
        </w:rPr>
        <w:t xml:space="preserve"> </w:t>
      </w:r>
      <w:r>
        <w:rPr>
          <w:rFonts w:hint="eastAsia" w:ascii="仿宋_GB2312" w:hAnsi="仿宋" w:eastAsia="仿宋_GB2312"/>
          <w:b/>
          <w:bCs/>
          <w:color w:val="000000"/>
          <w:sz w:val="32"/>
          <w:szCs w:val="32"/>
        </w:rPr>
        <w:t>社会保障和就业支出（类）行政事业单位</w:t>
      </w:r>
      <w:r>
        <w:rPr>
          <w:rFonts w:hint="eastAsia" w:ascii="仿宋_GB2312" w:hAnsi="仿宋" w:eastAsia="仿宋_GB2312"/>
          <w:b/>
          <w:bCs/>
          <w:color w:val="000000"/>
          <w:sz w:val="32"/>
          <w:szCs w:val="32"/>
          <w:lang w:eastAsia="zh-CN"/>
        </w:rPr>
        <w:t>养老支出</w:t>
      </w:r>
      <w:r>
        <w:rPr>
          <w:rFonts w:hint="eastAsia" w:ascii="仿宋_GB2312" w:hAnsi="仿宋" w:eastAsia="仿宋_GB2312"/>
          <w:b/>
          <w:bCs/>
          <w:color w:val="000000"/>
          <w:sz w:val="32"/>
          <w:szCs w:val="32"/>
        </w:rPr>
        <w:t>（款）事业单位离退休（项）</w:t>
      </w:r>
      <w:r>
        <w:rPr>
          <w:rStyle w:val="16"/>
          <w:rFonts w:hint="eastAsia" w:ascii="仿宋" w:hAnsi="仿宋" w:eastAsia="仿宋"/>
          <w:b w:val="0"/>
          <w:bCs/>
          <w:color w:val="auto"/>
          <w:sz w:val="32"/>
          <w:szCs w:val="32"/>
          <w:highlight w:val="none"/>
        </w:rPr>
        <w:t>支出决算为</w:t>
      </w:r>
      <w:r>
        <w:rPr>
          <w:rStyle w:val="16"/>
          <w:rFonts w:hint="eastAsia" w:ascii="仿宋" w:hAnsi="仿宋" w:eastAsia="仿宋"/>
          <w:b w:val="0"/>
          <w:bCs/>
          <w:color w:val="auto"/>
          <w:sz w:val="32"/>
          <w:szCs w:val="32"/>
          <w:highlight w:val="none"/>
          <w:lang w:val="en-US" w:eastAsia="zh-CN"/>
        </w:rPr>
        <w:t>0.014</w:t>
      </w:r>
      <w:r>
        <w:rPr>
          <w:rStyle w:val="16"/>
          <w:rFonts w:hint="eastAsia" w:ascii="仿宋" w:hAnsi="仿宋" w:eastAsia="仿宋"/>
          <w:b w:val="0"/>
          <w:bCs/>
          <w:color w:val="auto"/>
          <w:sz w:val="32"/>
          <w:szCs w:val="32"/>
          <w:highlight w:val="none"/>
        </w:rPr>
        <w:t>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3" w:firstLineChars="200"/>
        <w:rPr>
          <w:rFonts w:hint="eastAsia" w:ascii="仿宋_GB2312" w:hAnsi="仿宋" w:eastAsia="仿宋_GB2312" w:cs="Times New Roman"/>
          <w:color w:val="000000"/>
          <w:sz w:val="32"/>
          <w:szCs w:val="32"/>
        </w:rPr>
      </w:pPr>
      <w:r>
        <w:rPr>
          <w:rFonts w:hint="eastAsia" w:ascii="仿宋_GB2312" w:hAnsi="仿宋" w:eastAsia="仿宋_GB2312"/>
          <w:b/>
          <w:bCs/>
          <w:color w:val="000000"/>
          <w:sz w:val="32"/>
          <w:szCs w:val="32"/>
          <w:lang w:val="en-US" w:eastAsia="zh-CN"/>
        </w:rPr>
        <w:t>4</w:t>
      </w:r>
      <w:r>
        <w:rPr>
          <w:rFonts w:hint="eastAsia" w:ascii="仿宋_GB2312" w:hAnsi="仿宋" w:eastAsia="仿宋_GB2312"/>
          <w:b/>
          <w:bCs/>
          <w:color w:val="000000"/>
          <w:sz w:val="32"/>
          <w:szCs w:val="32"/>
        </w:rPr>
        <w:t>.社会保障和就业支出（类）行政事业单位</w:t>
      </w:r>
      <w:r>
        <w:rPr>
          <w:rFonts w:hint="eastAsia" w:ascii="仿宋_GB2312" w:hAnsi="仿宋" w:eastAsia="仿宋_GB2312"/>
          <w:b/>
          <w:bCs/>
          <w:color w:val="000000"/>
          <w:sz w:val="32"/>
          <w:szCs w:val="32"/>
          <w:lang w:eastAsia="zh-CN"/>
        </w:rPr>
        <w:t>养老支出</w:t>
      </w:r>
      <w:r>
        <w:rPr>
          <w:rFonts w:hint="eastAsia" w:ascii="仿宋_GB2312" w:hAnsi="仿宋" w:eastAsia="仿宋_GB2312"/>
          <w:b/>
          <w:bCs/>
          <w:color w:val="000000"/>
          <w:sz w:val="32"/>
          <w:szCs w:val="32"/>
        </w:rPr>
        <w:t>（款）机关事业单位基本养老保险缴费支出（项）:</w:t>
      </w:r>
      <w:r>
        <w:rPr>
          <w:rFonts w:hint="eastAsia" w:ascii="仿宋_GB2312" w:hAnsi="仿宋" w:eastAsia="仿宋_GB2312"/>
          <w:color w:val="000000"/>
          <w:sz w:val="32"/>
          <w:szCs w:val="32"/>
        </w:rPr>
        <w:t>支出决算为</w:t>
      </w:r>
      <w:r>
        <w:rPr>
          <w:rFonts w:hint="eastAsia" w:ascii="仿宋_GB2312" w:hAnsi="仿宋" w:eastAsia="仿宋_GB2312"/>
          <w:color w:val="000000"/>
          <w:sz w:val="32"/>
          <w:szCs w:val="32"/>
          <w:lang w:val="en-US" w:eastAsia="zh-CN"/>
        </w:rPr>
        <w:t>8.65</w:t>
      </w:r>
      <w:r>
        <w:rPr>
          <w:rFonts w:hint="eastAsia" w:ascii="仿宋_GB2312" w:hAnsi="仿宋" w:eastAsia="仿宋_GB2312"/>
          <w:color w:val="000000"/>
          <w:sz w:val="32"/>
          <w:szCs w:val="32"/>
        </w:rPr>
        <w:t>万元</w:t>
      </w:r>
      <w:r>
        <w:rPr>
          <w:rFonts w:hint="eastAsia" w:ascii="仿宋_GB2312" w:hAnsi="仿宋" w:eastAsia="仿宋_GB2312" w:cs="Times New Roman"/>
          <w:color w:val="000000"/>
          <w:sz w:val="32"/>
          <w:szCs w:val="32"/>
        </w:rPr>
        <w:t>，完成预算</w:t>
      </w:r>
      <w:r>
        <w:rPr>
          <w:rFonts w:hint="eastAsia" w:ascii="仿宋_GB2312" w:hAnsi="仿宋" w:eastAsia="仿宋_GB2312" w:cs="Times New Roman"/>
          <w:color w:val="000000"/>
          <w:sz w:val="32"/>
          <w:szCs w:val="32"/>
          <w:lang w:val="en-US" w:eastAsia="zh-CN"/>
        </w:rPr>
        <w:t>100</w:t>
      </w:r>
      <w:r>
        <w:rPr>
          <w:rFonts w:hint="eastAsia" w:ascii="仿宋_GB2312" w:hAnsi="仿宋" w:eastAsia="仿宋_GB2312" w:cs="Times New Roman"/>
          <w:color w:val="000000"/>
          <w:sz w:val="32"/>
          <w:szCs w:val="32"/>
        </w:rPr>
        <w:t>%。</w:t>
      </w:r>
    </w:p>
    <w:p>
      <w:pPr>
        <w:pStyle w:val="2"/>
        <w:ind w:firstLine="643" w:firstLineChars="200"/>
      </w:pPr>
      <w:r>
        <w:rPr>
          <w:rFonts w:hint="eastAsia" w:ascii="仿宋_GB2312" w:hAnsi="仿宋" w:eastAsia="仿宋_GB2312"/>
          <w:b/>
          <w:bCs/>
          <w:color w:val="000000"/>
          <w:sz w:val="32"/>
          <w:szCs w:val="32"/>
          <w:lang w:val="en-US" w:eastAsia="zh-CN"/>
        </w:rPr>
        <w:t>5</w:t>
      </w:r>
      <w:r>
        <w:rPr>
          <w:rFonts w:hint="eastAsia" w:ascii="仿宋_GB2312" w:hAnsi="仿宋" w:eastAsia="仿宋_GB2312"/>
          <w:b/>
          <w:bCs/>
          <w:color w:val="000000"/>
          <w:sz w:val="32"/>
          <w:szCs w:val="32"/>
        </w:rPr>
        <w:t>.</w:t>
      </w:r>
      <w:r>
        <w:rPr>
          <w:rFonts w:hint="eastAsia" w:ascii="仿宋_GB2312" w:hAnsi="仿宋" w:eastAsia="仿宋_GB2312" w:cs="Times New Roman"/>
          <w:b/>
          <w:bCs/>
          <w:color w:val="000000"/>
          <w:sz w:val="32"/>
          <w:szCs w:val="32"/>
        </w:rPr>
        <w:t>卫生健康支出（类）行政事业</w:t>
      </w:r>
      <w:r>
        <w:rPr>
          <w:rFonts w:hint="eastAsia" w:ascii="仿宋_GB2312" w:hAnsi="仿宋" w:eastAsia="仿宋_GB2312"/>
          <w:b/>
          <w:bCs/>
          <w:color w:val="000000"/>
          <w:sz w:val="32"/>
          <w:szCs w:val="32"/>
        </w:rPr>
        <w:t>单位医疗（款）事业单位医疗（项）：</w:t>
      </w:r>
      <w:r>
        <w:rPr>
          <w:rFonts w:hint="eastAsia" w:ascii="仿宋_GB2312" w:hAnsi="仿宋" w:eastAsia="仿宋_GB2312"/>
          <w:color w:val="000000"/>
          <w:sz w:val="32"/>
          <w:szCs w:val="32"/>
        </w:rPr>
        <w:t>支出决算为</w:t>
      </w:r>
      <w:r>
        <w:rPr>
          <w:rFonts w:hint="eastAsia" w:hAnsi="仿宋"/>
          <w:color w:val="000000"/>
          <w:sz w:val="32"/>
          <w:szCs w:val="32"/>
          <w:lang w:val="en-US" w:eastAsia="zh-CN"/>
        </w:rPr>
        <w:t>4</w:t>
      </w:r>
      <w:r>
        <w:rPr>
          <w:rFonts w:hint="eastAsia" w:ascii="仿宋_GB2312" w:hAnsi="仿宋" w:eastAsia="仿宋_GB2312"/>
          <w:color w:val="000000"/>
          <w:sz w:val="32"/>
          <w:szCs w:val="32"/>
          <w:lang w:val="en-US" w:eastAsia="zh-CN"/>
        </w:rPr>
        <w:t>.</w:t>
      </w:r>
      <w:r>
        <w:rPr>
          <w:rFonts w:hint="eastAsia" w:hAnsi="仿宋"/>
          <w:color w:val="000000"/>
          <w:sz w:val="32"/>
          <w:szCs w:val="32"/>
          <w:lang w:val="en-US" w:eastAsia="zh-CN"/>
        </w:rPr>
        <w:t>92</w:t>
      </w:r>
      <w:r>
        <w:rPr>
          <w:rFonts w:hint="eastAsia" w:ascii="仿宋_GB2312" w:hAnsi="仿宋" w:eastAsia="仿宋_GB2312"/>
          <w:color w:val="000000"/>
          <w:sz w:val="32"/>
          <w:szCs w:val="32"/>
        </w:rPr>
        <w:t>万元，完成预算</w:t>
      </w:r>
      <w:r>
        <w:rPr>
          <w:rFonts w:hint="eastAsia" w:ascii="仿宋_GB2312" w:hAnsi="仿宋" w:eastAsia="仿宋_GB2312"/>
          <w:color w:val="000000"/>
          <w:sz w:val="32"/>
          <w:szCs w:val="32"/>
          <w:lang w:val="en-US" w:eastAsia="zh-CN"/>
        </w:rPr>
        <w:t>100</w:t>
      </w:r>
      <w:r>
        <w:rPr>
          <w:rFonts w:hint="eastAsia" w:ascii="仿宋_GB2312" w:hAnsi="仿宋" w:eastAsia="仿宋_GB2312"/>
          <w:color w:val="000000"/>
          <w:sz w:val="32"/>
          <w:szCs w:val="32"/>
        </w:rPr>
        <w:t>%。</w:t>
      </w:r>
    </w:p>
    <w:p>
      <w:pPr>
        <w:spacing w:line="600" w:lineRule="exact"/>
        <w:ind w:firstLine="643" w:firstLineChars="200"/>
      </w:pPr>
      <w:r>
        <w:rPr>
          <w:rStyle w:val="16"/>
          <w:rFonts w:hint="eastAsia" w:ascii="仿宋" w:hAnsi="仿宋" w:eastAsia="仿宋" w:cs="Times New Roman"/>
          <w:b/>
          <w:bCs/>
          <w:color w:val="000000"/>
          <w:sz w:val="32"/>
          <w:szCs w:val="32"/>
          <w:lang w:val="en-US" w:eastAsia="zh-CN"/>
        </w:rPr>
        <w:t>6.卫生健康支出（类）行政事业单位医疗（款）公务员医疗补助（项）：</w:t>
      </w:r>
      <w:r>
        <w:rPr>
          <w:rFonts w:hint="eastAsia" w:ascii="仿宋_GB2312" w:hAnsi="仿宋" w:eastAsia="仿宋_GB2312"/>
          <w:color w:val="000000"/>
          <w:sz w:val="32"/>
          <w:szCs w:val="32"/>
        </w:rPr>
        <w:t>支出决算为</w:t>
      </w:r>
      <w:r>
        <w:rPr>
          <w:rFonts w:hint="eastAsia" w:ascii="仿宋_GB2312" w:hAnsi="仿宋" w:eastAsia="仿宋_GB2312"/>
          <w:color w:val="000000"/>
          <w:sz w:val="32"/>
          <w:szCs w:val="32"/>
          <w:lang w:val="en-US" w:eastAsia="zh-CN"/>
        </w:rPr>
        <w:t>0.8</w:t>
      </w:r>
      <w:r>
        <w:rPr>
          <w:rFonts w:hint="eastAsia" w:ascii="仿宋_GB2312" w:hAnsi="仿宋" w:eastAsia="仿宋_GB2312"/>
          <w:color w:val="000000"/>
          <w:sz w:val="32"/>
          <w:szCs w:val="32"/>
        </w:rPr>
        <w:t>万元，完成预算</w:t>
      </w:r>
      <w:r>
        <w:rPr>
          <w:rFonts w:hint="eastAsia" w:ascii="仿宋_GB2312" w:hAnsi="仿宋" w:eastAsia="仿宋_GB2312"/>
          <w:color w:val="000000"/>
          <w:sz w:val="32"/>
          <w:szCs w:val="32"/>
          <w:lang w:val="en-US" w:eastAsia="zh-CN"/>
        </w:rPr>
        <w:t>100</w:t>
      </w:r>
      <w:r>
        <w:rPr>
          <w:rFonts w:hint="eastAsia" w:ascii="仿宋_GB2312" w:hAnsi="仿宋" w:eastAsia="仿宋_GB2312"/>
          <w:color w:val="000000"/>
          <w:sz w:val="32"/>
          <w:szCs w:val="32"/>
        </w:rPr>
        <w:t>%。</w:t>
      </w:r>
    </w:p>
    <w:p>
      <w:pPr>
        <w:spacing w:line="600" w:lineRule="exact"/>
        <w:ind w:firstLine="643" w:firstLineChars="200"/>
        <w:outlineLvl w:val="2"/>
        <w:rPr>
          <w:rFonts w:hint="eastAsia" w:ascii="仿宋_GB2312" w:hAnsi="仿宋" w:eastAsia="仿宋_GB2312" w:cs="Times New Roman"/>
          <w:color w:val="000000"/>
          <w:sz w:val="32"/>
          <w:szCs w:val="32"/>
        </w:rPr>
      </w:pPr>
      <w:r>
        <w:rPr>
          <w:rStyle w:val="16"/>
          <w:rFonts w:hint="eastAsia" w:ascii="仿宋" w:hAnsi="仿宋" w:eastAsia="仿宋" w:cs="Times New Roman"/>
          <w:b/>
          <w:bCs/>
          <w:color w:val="000000"/>
          <w:sz w:val="32"/>
          <w:szCs w:val="32"/>
          <w:lang w:val="en-US" w:eastAsia="zh-CN"/>
        </w:rPr>
        <w:t>7</w:t>
      </w:r>
      <w:r>
        <w:rPr>
          <w:rStyle w:val="16"/>
          <w:rFonts w:hint="eastAsia" w:ascii="仿宋" w:hAnsi="仿宋" w:eastAsia="仿宋" w:cs="Times New Roman"/>
          <w:b/>
          <w:bCs/>
          <w:color w:val="000000"/>
          <w:sz w:val="32"/>
          <w:szCs w:val="32"/>
        </w:rPr>
        <w:t>.住房保障支出（类）住房改革支出（款）住房公积金（项）</w:t>
      </w:r>
      <w:r>
        <w:rPr>
          <w:rFonts w:hint="eastAsia" w:ascii="仿宋_GB2312" w:hAnsi="仿宋" w:eastAsia="仿宋_GB2312"/>
          <w:color w:val="000000"/>
          <w:sz w:val="32"/>
          <w:szCs w:val="32"/>
        </w:rPr>
        <w:t>：支出决算为</w:t>
      </w:r>
      <w:r>
        <w:rPr>
          <w:rFonts w:hint="eastAsia" w:ascii="仿宋_GB2312" w:hAnsi="仿宋" w:eastAsia="仿宋_GB2312"/>
          <w:color w:val="000000"/>
          <w:sz w:val="32"/>
          <w:szCs w:val="32"/>
          <w:lang w:val="en-US" w:eastAsia="zh-CN"/>
        </w:rPr>
        <w:t>7.12</w:t>
      </w:r>
      <w:r>
        <w:rPr>
          <w:rFonts w:hint="eastAsia" w:ascii="仿宋_GB2312" w:hAnsi="仿宋" w:eastAsia="仿宋_GB2312"/>
          <w:color w:val="000000"/>
          <w:sz w:val="32"/>
          <w:szCs w:val="32"/>
        </w:rPr>
        <w:t>万元</w:t>
      </w:r>
      <w:r>
        <w:rPr>
          <w:rFonts w:hint="eastAsia" w:ascii="仿宋_GB2312" w:hAnsi="仿宋" w:eastAsia="仿宋_GB2312" w:cs="Times New Roman"/>
          <w:color w:val="000000"/>
          <w:sz w:val="32"/>
          <w:szCs w:val="32"/>
        </w:rPr>
        <w:t>，完成预算</w:t>
      </w:r>
      <w:r>
        <w:rPr>
          <w:rFonts w:hint="eastAsia" w:ascii="仿宋_GB2312" w:hAnsi="仿宋" w:eastAsia="仿宋_GB2312" w:cs="Times New Roman"/>
          <w:color w:val="000000"/>
          <w:sz w:val="32"/>
          <w:szCs w:val="32"/>
          <w:lang w:val="en-US" w:eastAsia="zh-CN"/>
        </w:rPr>
        <w:t>100</w:t>
      </w:r>
      <w:r>
        <w:rPr>
          <w:rFonts w:hint="eastAsia" w:ascii="仿宋_GB2312" w:hAnsi="仿宋" w:eastAsia="仿宋_GB2312" w:cs="Times New Roman"/>
          <w:color w:val="000000"/>
          <w:sz w:val="32"/>
          <w:szCs w:val="32"/>
        </w:rPr>
        <w:t>%。</w:t>
      </w:r>
    </w:p>
    <w:p>
      <w:pPr>
        <w:tabs>
          <w:tab w:val="right" w:pos="8306"/>
        </w:tabs>
        <w:spacing w:line="600" w:lineRule="exact"/>
        <w:ind w:firstLine="640" w:firstLineChars="200"/>
        <w:outlineLvl w:val="1"/>
        <w:rPr>
          <w:rStyle w:val="27"/>
          <w:color w:val="auto"/>
          <w:highlight w:val="none"/>
        </w:rPr>
      </w:pPr>
      <w:bookmarkStart w:id="51" w:name="_Toc15396608"/>
      <w:bookmarkStart w:id="52" w:name="_Toc15377214"/>
      <w:bookmarkStart w:id="53" w:name="_Toc9042"/>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27"/>
          <w:rFonts w:hint="eastAsia" w:ascii="黑体" w:hAnsi="黑体" w:eastAsia="黑体"/>
          <w:b w:val="0"/>
          <w:color w:val="auto"/>
          <w:highlight w:val="none"/>
        </w:rPr>
        <w:t>般公共预算财政拨款基本支出决算情况说明</w:t>
      </w:r>
      <w:bookmarkEnd w:id="51"/>
      <w:bookmarkEnd w:id="52"/>
      <w:bookmarkEnd w:id="53"/>
      <w:r>
        <w:rPr>
          <w:rStyle w:val="27"/>
          <w:rFonts w:ascii="黑体" w:hAnsi="黑体" w:eastAsia="黑体"/>
          <w:b w:val="0"/>
          <w:color w:val="auto"/>
          <w:highlight w:val="none"/>
        </w:rPr>
        <w:tab/>
      </w:r>
    </w:p>
    <w:p>
      <w:pPr>
        <w:spacing w:line="600" w:lineRule="exact"/>
        <w:ind w:firstLine="645"/>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年一般公共预算财政拨款基本支出</w:t>
      </w:r>
      <w:r>
        <w:rPr>
          <w:rFonts w:hint="eastAsia" w:ascii="仿宋" w:hAnsi="仿宋" w:eastAsia="仿宋"/>
          <w:color w:val="auto"/>
          <w:sz w:val="32"/>
          <w:szCs w:val="32"/>
          <w:highlight w:val="none"/>
          <w:lang w:val="en-US" w:eastAsia="zh-CN"/>
        </w:rPr>
        <w:t>111.2</w:t>
      </w:r>
      <w:r>
        <w:rPr>
          <w:rFonts w:hint="eastAsia" w:ascii="仿宋" w:hAnsi="仿宋" w:eastAsia="仿宋"/>
          <w:color w:val="auto"/>
          <w:sz w:val="32"/>
          <w:szCs w:val="32"/>
          <w:highlight w:val="none"/>
        </w:rPr>
        <w:t>万元，其中：</w:t>
      </w:r>
    </w:p>
    <w:p>
      <w:pPr>
        <w:spacing w:line="600" w:lineRule="exact"/>
        <w:ind w:firstLine="645"/>
        <w:rPr>
          <w:rFonts w:ascii="仿宋" w:hAnsi="仿宋" w:eastAsia="仿宋"/>
          <w:color w:val="000000"/>
          <w:sz w:val="32"/>
          <w:szCs w:val="32"/>
        </w:rPr>
      </w:pPr>
      <w:r>
        <w:rPr>
          <w:rFonts w:hint="eastAsia" w:ascii="仿宋" w:hAnsi="仿宋" w:eastAsia="仿宋"/>
          <w:color w:val="auto"/>
          <w:sz w:val="32"/>
          <w:szCs w:val="32"/>
          <w:highlight w:val="none"/>
        </w:rPr>
        <w:t>人员经费</w:t>
      </w:r>
      <w:r>
        <w:rPr>
          <w:rFonts w:hint="eastAsia" w:ascii="仿宋" w:hAnsi="仿宋" w:eastAsia="仿宋"/>
          <w:color w:val="auto"/>
          <w:sz w:val="32"/>
          <w:szCs w:val="32"/>
          <w:highlight w:val="none"/>
          <w:lang w:val="en-US" w:eastAsia="zh-CN"/>
        </w:rPr>
        <w:t>99.77</w:t>
      </w:r>
      <w:r>
        <w:rPr>
          <w:rFonts w:hint="eastAsia" w:ascii="仿宋" w:hAnsi="仿宋" w:eastAsia="仿宋"/>
          <w:color w:val="auto"/>
          <w:sz w:val="32"/>
          <w:szCs w:val="32"/>
          <w:highlight w:val="none"/>
        </w:rPr>
        <w:t>万元，主要包括：基本工资</w:t>
      </w:r>
      <w:r>
        <w:rPr>
          <w:rFonts w:hint="eastAsia" w:ascii="仿宋" w:hAnsi="仿宋" w:eastAsia="仿宋"/>
          <w:color w:val="auto"/>
          <w:sz w:val="32"/>
          <w:szCs w:val="32"/>
          <w:highlight w:val="none"/>
          <w:lang w:val="en-US" w:eastAsia="zh-CN"/>
        </w:rPr>
        <w:t>29.47</w:t>
      </w:r>
      <w:r>
        <w:rPr>
          <w:rFonts w:hint="eastAsia" w:ascii="仿宋_GB2312" w:hAnsi="仿宋" w:eastAsia="仿宋_GB2312"/>
          <w:color w:val="000000"/>
          <w:sz w:val="32"/>
          <w:szCs w:val="32"/>
        </w:rPr>
        <w:t>万元</w:t>
      </w:r>
      <w:r>
        <w:rPr>
          <w:rFonts w:hint="eastAsia" w:ascii="仿宋" w:hAnsi="仿宋" w:eastAsia="仿宋"/>
          <w:color w:val="auto"/>
          <w:sz w:val="32"/>
          <w:szCs w:val="32"/>
          <w:highlight w:val="none"/>
        </w:rPr>
        <w:t>、津贴补贴</w:t>
      </w:r>
      <w:r>
        <w:rPr>
          <w:rFonts w:hint="eastAsia" w:ascii="仿宋" w:hAnsi="仿宋" w:eastAsia="仿宋"/>
          <w:color w:val="auto"/>
          <w:sz w:val="32"/>
          <w:szCs w:val="32"/>
          <w:highlight w:val="none"/>
          <w:lang w:val="en-US" w:eastAsia="zh-CN"/>
        </w:rPr>
        <w:t>0.62</w:t>
      </w:r>
      <w:r>
        <w:rPr>
          <w:rFonts w:hint="eastAsia" w:ascii="仿宋_GB2312" w:hAnsi="仿宋" w:eastAsia="仿宋_GB2312"/>
          <w:color w:val="000000"/>
          <w:sz w:val="32"/>
          <w:szCs w:val="32"/>
        </w:rPr>
        <w:t>万元</w:t>
      </w:r>
      <w:r>
        <w:rPr>
          <w:rFonts w:hint="eastAsia" w:ascii="仿宋" w:hAnsi="仿宋" w:eastAsia="仿宋"/>
          <w:color w:val="auto"/>
          <w:sz w:val="32"/>
          <w:szCs w:val="32"/>
          <w:highlight w:val="none"/>
        </w:rPr>
        <w:t>、奖金</w:t>
      </w:r>
      <w:r>
        <w:rPr>
          <w:rFonts w:hint="eastAsia" w:ascii="仿宋" w:hAnsi="仿宋" w:eastAsia="仿宋"/>
          <w:color w:val="auto"/>
          <w:sz w:val="32"/>
          <w:szCs w:val="32"/>
          <w:highlight w:val="none"/>
          <w:lang w:val="en-US" w:eastAsia="zh-CN"/>
        </w:rPr>
        <w:t>2.52</w:t>
      </w:r>
      <w:r>
        <w:rPr>
          <w:rFonts w:hint="eastAsia" w:ascii="仿宋_GB2312" w:hAnsi="仿宋" w:eastAsia="仿宋_GB2312"/>
          <w:color w:val="000000"/>
          <w:sz w:val="32"/>
          <w:szCs w:val="32"/>
        </w:rPr>
        <w:t>万元</w:t>
      </w:r>
      <w:r>
        <w:rPr>
          <w:rFonts w:hint="eastAsia" w:ascii="仿宋" w:hAnsi="仿宋" w:eastAsia="仿宋"/>
          <w:color w:val="auto"/>
          <w:sz w:val="32"/>
          <w:szCs w:val="32"/>
          <w:highlight w:val="none"/>
        </w:rPr>
        <w:t>、绩效工资</w:t>
      </w:r>
      <w:r>
        <w:rPr>
          <w:rFonts w:hint="eastAsia" w:ascii="仿宋" w:hAnsi="仿宋" w:eastAsia="仿宋"/>
          <w:color w:val="auto"/>
          <w:sz w:val="32"/>
          <w:szCs w:val="32"/>
          <w:highlight w:val="none"/>
          <w:lang w:val="en-US" w:eastAsia="zh-CN"/>
        </w:rPr>
        <w:t>33.62</w:t>
      </w:r>
      <w:r>
        <w:rPr>
          <w:rFonts w:hint="eastAsia" w:ascii="仿宋_GB2312" w:hAnsi="仿宋" w:eastAsia="仿宋_GB2312"/>
          <w:color w:val="000000"/>
          <w:sz w:val="32"/>
          <w:szCs w:val="32"/>
        </w:rPr>
        <w:t>万元</w:t>
      </w:r>
      <w:r>
        <w:rPr>
          <w:rFonts w:hint="eastAsia" w:ascii="仿宋" w:hAnsi="仿宋" w:eastAsia="仿宋"/>
          <w:color w:val="auto"/>
          <w:sz w:val="32"/>
          <w:szCs w:val="32"/>
          <w:highlight w:val="none"/>
        </w:rPr>
        <w:t>、机关事业单位基本养老保险缴费</w:t>
      </w:r>
      <w:r>
        <w:rPr>
          <w:rFonts w:hint="eastAsia" w:ascii="仿宋" w:hAnsi="仿宋" w:eastAsia="仿宋"/>
          <w:color w:val="auto"/>
          <w:sz w:val="32"/>
          <w:szCs w:val="32"/>
          <w:highlight w:val="none"/>
          <w:lang w:val="en-US" w:eastAsia="zh-CN"/>
        </w:rPr>
        <w:t>8.65</w:t>
      </w:r>
      <w:r>
        <w:rPr>
          <w:rFonts w:hint="eastAsia" w:ascii="仿宋_GB2312" w:hAnsi="仿宋" w:eastAsia="仿宋_GB2312"/>
          <w:color w:val="000000"/>
          <w:sz w:val="32"/>
          <w:szCs w:val="32"/>
        </w:rPr>
        <w:t>万元</w:t>
      </w:r>
      <w:r>
        <w:rPr>
          <w:rFonts w:hint="eastAsia" w:ascii="仿宋" w:hAnsi="仿宋" w:eastAsia="仿宋"/>
          <w:color w:val="auto"/>
          <w:sz w:val="32"/>
          <w:szCs w:val="32"/>
          <w:highlight w:val="none"/>
        </w:rPr>
        <w:t>、</w:t>
      </w:r>
      <w:r>
        <w:rPr>
          <w:rFonts w:hint="eastAsia" w:ascii="仿宋_GB2312" w:hAnsi="仿宋" w:eastAsia="仿宋_GB2312"/>
          <w:color w:val="000000"/>
          <w:sz w:val="32"/>
          <w:szCs w:val="32"/>
          <w:lang w:eastAsia="zh-CN"/>
        </w:rPr>
        <w:t>职工基本医疗保险缴费</w:t>
      </w:r>
      <w:r>
        <w:rPr>
          <w:rFonts w:hint="eastAsia" w:ascii="仿宋_GB2312" w:hAnsi="仿宋" w:eastAsia="仿宋_GB2312"/>
          <w:color w:val="000000"/>
          <w:sz w:val="32"/>
          <w:szCs w:val="32"/>
          <w:lang w:val="en-US" w:eastAsia="zh-CN"/>
        </w:rPr>
        <w:t>5.44万元、</w:t>
      </w:r>
      <w:r>
        <w:rPr>
          <w:rFonts w:hint="eastAsia" w:ascii="仿宋_GB2312" w:hAnsi="仿宋" w:eastAsia="仿宋_GB2312"/>
          <w:color w:val="000000"/>
          <w:sz w:val="32"/>
          <w:szCs w:val="32"/>
        </w:rPr>
        <w:t>公务员医疗补助缴费</w:t>
      </w:r>
      <w:r>
        <w:rPr>
          <w:rFonts w:hint="eastAsia" w:ascii="仿宋_GB2312" w:hAnsi="仿宋" w:eastAsia="仿宋_GB2312"/>
          <w:color w:val="000000"/>
          <w:sz w:val="32"/>
          <w:szCs w:val="32"/>
          <w:lang w:val="en-US" w:eastAsia="zh-CN"/>
        </w:rPr>
        <w:t>0.8</w:t>
      </w:r>
      <w:r>
        <w:rPr>
          <w:rFonts w:hint="eastAsia" w:ascii="仿宋_GB2312" w:hAnsi="仿宋" w:eastAsia="仿宋_GB2312"/>
          <w:color w:val="000000"/>
          <w:sz w:val="32"/>
          <w:szCs w:val="32"/>
        </w:rPr>
        <w:t>万元、其他社会保障缴费</w:t>
      </w:r>
      <w:r>
        <w:rPr>
          <w:rFonts w:hint="eastAsia" w:ascii="仿宋_GB2312" w:hAnsi="仿宋" w:eastAsia="仿宋_GB2312"/>
          <w:color w:val="000000"/>
          <w:sz w:val="32"/>
          <w:szCs w:val="32"/>
          <w:lang w:val="en-US" w:eastAsia="zh-CN"/>
        </w:rPr>
        <w:t>1.75</w:t>
      </w:r>
      <w:r>
        <w:rPr>
          <w:rFonts w:hint="eastAsia" w:ascii="仿宋_GB2312" w:hAnsi="仿宋" w:eastAsia="仿宋_GB2312"/>
          <w:color w:val="000000"/>
          <w:sz w:val="32"/>
          <w:szCs w:val="32"/>
        </w:rPr>
        <w:t>万元、住房公积金</w:t>
      </w:r>
      <w:r>
        <w:rPr>
          <w:rFonts w:hint="eastAsia" w:ascii="仿宋_GB2312" w:hAnsi="仿宋" w:eastAsia="仿宋_GB2312"/>
          <w:color w:val="000000"/>
          <w:sz w:val="32"/>
          <w:szCs w:val="32"/>
          <w:lang w:val="en-US" w:eastAsia="zh-CN"/>
        </w:rPr>
        <w:t>7.56</w:t>
      </w:r>
      <w:r>
        <w:rPr>
          <w:rFonts w:hint="eastAsia" w:ascii="仿宋_GB2312" w:hAnsi="仿宋" w:eastAsia="仿宋_GB2312"/>
          <w:color w:val="000000"/>
          <w:sz w:val="32"/>
          <w:szCs w:val="32"/>
        </w:rPr>
        <w:t>万元、对个人和家庭的补助支出</w:t>
      </w:r>
      <w:r>
        <w:rPr>
          <w:rFonts w:hint="eastAsia" w:ascii="仿宋_GB2312" w:hAnsi="仿宋" w:eastAsia="仿宋_GB2312"/>
          <w:color w:val="000000"/>
          <w:sz w:val="32"/>
          <w:szCs w:val="32"/>
          <w:lang w:val="en-US" w:eastAsia="zh-CN"/>
        </w:rPr>
        <w:t>9.35</w:t>
      </w:r>
      <w:r>
        <w:rPr>
          <w:rFonts w:hint="eastAsia" w:ascii="仿宋_GB2312" w:hAnsi="仿宋" w:eastAsia="仿宋_GB2312"/>
          <w:color w:val="000000"/>
          <w:sz w:val="32"/>
          <w:szCs w:val="32"/>
        </w:rPr>
        <w:t>万元</w:t>
      </w:r>
      <w:r>
        <w:rPr>
          <w:rFonts w:hint="eastAsia" w:ascii="仿宋_GB2312" w:hAnsi="仿宋" w:eastAsia="仿宋_GB2312"/>
          <w:color w:val="000000"/>
          <w:sz w:val="32"/>
          <w:szCs w:val="32"/>
          <w:lang w:val="en-US" w:eastAsia="zh-CN"/>
        </w:rPr>
        <w:t>等</w:t>
      </w:r>
      <w:r>
        <w:rPr>
          <w:rFonts w:hint="eastAsia" w:ascii="仿宋" w:hAnsi="仿宋" w:eastAsia="仿宋"/>
          <w:color w:val="000000"/>
          <w:sz w:val="32"/>
          <w:szCs w:val="32"/>
        </w:rPr>
        <w:t>。</w:t>
      </w:r>
      <w:r>
        <w:rPr>
          <w:rFonts w:ascii="仿宋" w:hAnsi="仿宋" w:eastAsia="仿宋"/>
          <w:color w:val="000000"/>
          <w:sz w:val="32"/>
          <w:szCs w:val="32"/>
        </w:rPr>
        <w:br w:type="textWrapping"/>
      </w:r>
      <w:r>
        <w:rPr>
          <w:rFonts w:hint="eastAsia" w:ascii="仿宋" w:hAnsi="仿宋" w:eastAsia="仿宋"/>
          <w:color w:val="auto"/>
          <w:sz w:val="32"/>
          <w:szCs w:val="32"/>
          <w:highlight w:val="none"/>
        </w:rPr>
        <w:t>　　</w:t>
      </w:r>
      <w:r>
        <w:rPr>
          <w:rFonts w:hint="eastAsia" w:ascii="仿宋_GB2312" w:hAnsi="仿宋_GB2312" w:eastAsia="仿宋_GB2312" w:cs="仿宋_GB2312"/>
          <w:color w:val="000000"/>
          <w:sz w:val="32"/>
          <w:szCs w:val="32"/>
        </w:rPr>
        <w:t>公用经费</w:t>
      </w:r>
      <w:r>
        <w:rPr>
          <w:rFonts w:hint="eastAsia" w:ascii="仿宋_GB2312" w:hAnsi="仿宋_GB2312" w:eastAsia="仿宋_GB2312" w:cs="仿宋_GB2312"/>
          <w:color w:val="000000"/>
          <w:sz w:val="32"/>
          <w:szCs w:val="32"/>
          <w:lang w:val="en-US" w:eastAsia="zh-CN"/>
        </w:rPr>
        <w:t>11.43</w:t>
      </w:r>
      <w:r>
        <w:rPr>
          <w:rFonts w:hint="eastAsia" w:ascii="仿宋_GB2312" w:hAnsi="仿宋_GB2312" w:eastAsia="仿宋_GB2312" w:cs="仿宋_GB2312"/>
          <w:color w:val="000000"/>
          <w:sz w:val="32"/>
          <w:szCs w:val="32"/>
        </w:rPr>
        <w:t>万元，主要包括：</w:t>
      </w:r>
      <w:r>
        <w:rPr>
          <w:rFonts w:hint="eastAsia" w:ascii="仿宋_GB2312" w:hAnsi="仿宋" w:eastAsia="仿宋_GB2312"/>
          <w:color w:val="000000"/>
          <w:sz w:val="32"/>
          <w:szCs w:val="32"/>
        </w:rPr>
        <w:t>办公费</w:t>
      </w:r>
      <w:r>
        <w:rPr>
          <w:rFonts w:hint="eastAsia" w:ascii="仿宋_GB2312" w:hAnsi="仿宋" w:eastAsia="仿宋_GB2312"/>
          <w:color w:val="000000"/>
          <w:sz w:val="32"/>
          <w:szCs w:val="32"/>
          <w:lang w:val="en-US" w:eastAsia="zh-CN"/>
        </w:rPr>
        <w:t>1.68</w:t>
      </w:r>
      <w:r>
        <w:rPr>
          <w:rFonts w:hint="eastAsia" w:ascii="仿宋_GB2312" w:hAnsi="仿宋" w:eastAsia="仿宋_GB2312"/>
          <w:color w:val="000000"/>
          <w:sz w:val="32"/>
          <w:szCs w:val="32"/>
        </w:rPr>
        <w:t>万元、手续费</w:t>
      </w:r>
      <w:r>
        <w:rPr>
          <w:rFonts w:hint="eastAsia" w:ascii="仿宋_GB2312" w:hAnsi="仿宋" w:eastAsia="仿宋_GB2312"/>
          <w:color w:val="000000"/>
          <w:sz w:val="32"/>
          <w:szCs w:val="32"/>
          <w:lang w:val="en-US" w:eastAsia="zh-CN"/>
        </w:rPr>
        <w:t>0.07</w:t>
      </w:r>
      <w:r>
        <w:rPr>
          <w:rFonts w:hint="eastAsia" w:ascii="仿宋_GB2312" w:hAnsi="仿宋" w:eastAsia="仿宋_GB2312"/>
          <w:color w:val="000000"/>
          <w:sz w:val="32"/>
          <w:szCs w:val="32"/>
        </w:rPr>
        <w:t>万元、邮电费</w:t>
      </w:r>
      <w:r>
        <w:rPr>
          <w:rFonts w:hint="eastAsia" w:ascii="仿宋_GB2312" w:hAnsi="仿宋" w:eastAsia="仿宋_GB2312"/>
          <w:color w:val="000000"/>
          <w:sz w:val="32"/>
          <w:szCs w:val="32"/>
          <w:lang w:val="en-US" w:eastAsia="zh-CN"/>
        </w:rPr>
        <w:t>1.05</w:t>
      </w:r>
      <w:r>
        <w:rPr>
          <w:rFonts w:hint="eastAsia" w:ascii="仿宋_GB2312" w:hAnsi="仿宋" w:eastAsia="仿宋_GB2312"/>
          <w:color w:val="000000"/>
          <w:sz w:val="32"/>
          <w:szCs w:val="32"/>
        </w:rPr>
        <w:t>万元、差旅费</w:t>
      </w:r>
      <w:r>
        <w:rPr>
          <w:rFonts w:hint="eastAsia" w:ascii="仿宋_GB2312" w:hAnsi="仿宋" w:eastAsia="仿宋_GB2312"/>
          <w:color w:val="000000"/>
          <w:sz w:val="32"/>
          <w:szCs w:val="32"/>
          <w:lang w:val="en-US" w:eastAsia="zh-CN"/>
        </w:rPr>
        <w:t>1.43</w:t>
      </w:r>
      <w:r>
        <w:rPr>
          <w:rFonts w:hint="eastAsia" w:ascii="仿宋_GB2312" w:hAnsi="仿宋" w:eastAsia="仿宋_GB2312"/>
          <w:color w:val="000000"/>
          <w:sz w:val="32"/>
          <w:szCs w:val="32"/>
        </w:rPr>
        <w:t>万元、维修（护）费</w:t>
      </w:r>
      <w:r>
        <w:rPr>
          <w:rFonts w:hint="eastAsia" w:ascii="仿宋_GB2312" w:hAnsi="仿宋" w:eastAsia="仿宋_GB2312"/>
          <w:color w:val="000000"/>
          <w:sz w:val="32"/>
          <w:szCs w:val="32"/>
          <w:lang w:val="en-US" w:eastAsia="zh-CN"/>
        </w:rPr>
        <w:t>0.21</w:t>
      </w:r>
      <w:r>
        <w:rPr>
          <w:rFonts w:hint="eastAsia" w:ascii="仿宋_GB2312" w:hAnsi="仿宋" w:eastAsia="仿宋_GB2312"/>
          <w:color w:val="000000"/>
          <w:sz w:val="32"/>
          <w:szCs w:val="32"/>
        </w:rPr>
        <w:t>万元、培训费</w:t>
      </w:r>
      <w:r>
        <w:rPr>
          <w:rFonts w:hint="eastAsia" w:ascii="仿宋_GB2312" w:hAnsi="仿宋" w:eastAsia="仿宋_GB2312"/>
          <w:color w:val="000000"/>
          <w:sz w:val="32"/>
          <w:szCs w:val="32"/>
          <w:lang w:val="en-US" w:eastAsia="zh-CN"/>
        </w:rPr>
        <w:t>0.01</w:t>
      </w:r>
      <w:r>
        <w:rPr>
          <w:rFonts w:hint="eastAsia" w:ascii="仿宋_GB2312" w:hAnsi="仿宋" w:eastAsia="仿宋_GB2312"/>
          <w:color w:val="000000"/>
          <w:sz w:val="32"/>
          <w:szCs w:val="32"/>
        </w:rPr>
        <w:t>万元</w:t>
      </w:r>
      <w:r>
        <w:rPr>
          <w:rFonts w:hint="eastAsia" w:ascii="仿宋_GB2312" w:hAnsi="仿宋" w:eastAsia="仿宋_GB2312"/>
          <w:color w:val="000000"/>
          <w:sz w:val="32"/>
          <w:szCs w:val="32"/>
          <w:lang w:eastAsia="zh-CN"/>
        </w:rPr>
        <w:t>、</w:t>
      </w:r>
      <w:r>
        <w:rPr>
          <w:rFonts w:hint="eastAsia" w:ascii="仿宋_GB2312" w:hAnsi="仿宋" w:eastAsia="仿宋_GB2312"/>
          <w:color w:val="000000"/>
          <w:sz w:val="32"/>
          <w:szCs w:val="32"/>
        </w:rPr>
        <w:t>劳务费</w:t>
      </w:r>
      <w:r>
        <w:rPr>
          <w:rFonts w:hint="eastAsia" w:ascii="仿宋_GB2312" w:hAnsi="仿宋" w:eastAsia="仿宋_GB2312"/>
          <w:color w:val="000000"/>
          <w:sz w:val="32"/>
          <w:szCs w:val="32"/>
          <w:lang w:val="en-US" w:eastAsia="zh-CN"/>
        </w:rPr>
        <w:t>3.43</w:t>
      </w:r>
      <w:r>
        <w:rPr>
          <w:rFonts w:hint="eastAsia" w:ascii="仿宋_GB2312" w:hAnsi="仿宋" w:eastAsia="仿宋_GB2312"/>
          <w:color w:val="000000"/>
          <w:sz w:val="32"/>
          <w:szCs w:val="32"/>
        </w:rPr>
        <w:t>万元、委托业务费</w:t>
      </w:r>
      <w:r>
        <w:rPr>
          <w:rFonts w:hint="eastAsia" w:ascii="仿宋_GB2312" w:hAnsi="仿宋" w:eastAsia="仿宋_GB2312"/>
          <w:color w:val="000000"/>
          <w:sz w:val="32"/>
          <w:szCs w:val="32"/>
          <w:lang w:val="en-US" w:eastAsia="zh-CN"/>
        </w:rPr>
        <w:t>1.09</w:t>
      </w:r>
      <w:r>
        <w:rPr>
          <w:rFonts w:hint="eastAsia" w:ascii="仿宋_GB2312" w:hAnsi="仿宋" w:eastAsia="仿宋_GB2312"/>
          <w:color w:val="000000"/>
          <w:sz w:val="32"/>
          <w:szCs w:val="32"/>
        </w:rPr>
        <w:t>万元、工会经费</w:t>
      </w:r>
      <w:r>
        <w:rPr>
          <w:rFonts w:hint="eastAsia" w:ascii="仿宋_GB2312" w:hAnsi="仿宋" w:eastAsia="仿宋_GB2312"/>
          <w:color w:val="000000"/>
          <w:sz w:val="32"/>
          <w:szCs w:val="32"/>
          <w:lang w:val="en-US" w:eastAsia="zh-CN"/>
        </w:rPr>
        <w:t>0.6</w:t>
      </w:r>
      <w:r>
        <w:rPr>
          <w:rFonts w:hint="eastAsia" w:ascii="仿宋_GB2312" w:hAnsi="仿宋" w:eastAsia="仿宋_GB2312"/>
          <w:color w:val="000000"/>
          <w:sz w:val="32"/>
          <w:szCs w:val="32"/>
        </w:rPr>
        <w:t>万元、福利费</w:t>
      </w:r>
      <w:r>
        <w:rPr>
          <w:rFonts w:hint="eastAsia" w:ascii="仿宋_GB2312" w:hAnsi="仿宋" w:eastAsia="仿宋_GB2312"/>
          <w:color w:val="000000"/>
          <w:sz w:val="32"/>
          <w:szCs w:val="32"/>
          <w:lang w:val="en-US" w:eastAsia="zh-CN"/>
        </w:rPr>
        <w:t>1.15</w:t>
      </w:r>
      <w:r>
        <w:rPr>
          <w:rFonts w:hint="eastAsia" w:ascii="仿宋_GB2312" w:hAnsi="仿宋" w:eastAsia="仿宋_GB2312"/>
          <w:color w:val="000000"/>
          <w:sz w:val="32"/>
          <w:szCs w:val="32"/>
        </w:rPr>
        <w:t>万元、公务用车运行维护费</w:t>
      </w:r>
      <w:r>
        <w:rPr>
          <w:rFonts w:hint="eastAsia" w:ascii="仿宋_GB2312" w:hAnsi="仿宋" w:eastAsia="仿宋_GB2312"/>
          <w:color w:val="000000"/>
          <w:sz w:val="32"/>
          <w:szCs w:val="32"/>
          <w:lang w:val="en-US" w:eastAsia="zh-CN"/>
        </w:rPr>
        <w:t>0.7</w:t>
      </w:r>
      <w:r>
        <w:rPr>
          <w:rFonts w:hint="eastAsia" w:ascii="仿宋_GB2312" w:hAnsi="仿宋" w:eastAsia="仿宋_GB2312"/>
          <w:color w:val="000000"/>
          <w:sz w:val="32"/>
          <w:szCs w:val="32"/>
        </w:rPr>
        <w:t>万元</w:t>
      </w:r>
      <w:r>
        <w:rPr>
          <w:rFonts w:hint="eastAsia" w:ascii="仿宋_GB2312" w:hAnsi="仿宋" w:eastAsia="仿宋_GB2312"/>
          <w:color w:val="000000"/>
          <w:sz w:val="32"/>
          <w:szCs w:val="32"/>
          <w:lang w:val="en-US" w:eastAsia="zh-CN"/>
        </w:rPr>
        <w:t>等</w:t>
      </w:r>
      <w:r>
        <w:rPr>
          <w:rFonts w:hint="eastAsia" w:ascii="仿宋_GB2312" w:hAnsi="仿宋" w:eastAsia="仿宋_GB2312"/>
          <w:color w:val="000000"/>
          <w:sz w:val="32"/>
          <w:szCs w:val="32"/>
        </w:rPr>
        <w:t>。</w:t>
      </w:r>
    </w:p>
    <w:p>
      <w:pPr>
        <w:spacing w:line="600" w:lineRule="exact"/>
        <w:ind w:firstLine="640"/>
        <w:outlineLvl w:val="1"/>
        <w:rPr>
          <w:rStyle w:val="27"/>
          <w:rFonts w:ascii="黑体" w:hAnsi="黑体" w:eastAsia="黑体"/>
          <w:b w:val="0"/>
          <w:color w:val="auto"/>
          <w:highlight w:val="none"/>
        </w:rPr>
      </w:pPr>
      <w:bookmarkStart w:id="54" w:name="_Toc2486"/>
      <w:bookmarkStart w:id="55" w:name="_Toc15396609"/>
      <w:bookmarkStart w:id="56" w:name="_Toc15377215"/>
      <w:r>
        <w:rPr>
          <w:rFonts w:hint="eastAsia" w:ascii="黑体" w:eastAsia="黑体"/>
          <w:color w:val="auto"/>
          <w:sz w:val="32"/>
          <w:szCs w:val="32"/>
          <w:highlight w:val="none"/>
        </w:rPr>
        <w:t>七、</w:t>
      </w:r>
      <w:r>
        <w:rPr>
          <w:rStyle w:val="27"/>
          <w:rFonts w:hint="eastAsia" w:ascii="黑体" w:hAnsi="黑体" w:eastAsia="黑体"/>
          <w:b w:val="0"/>
          <w:color w:val="auto"/>
          <w:highlight w:val="none"/>
        </w:rPr>
        <w:t>财政拨款</w:t>
      </w:r>
      <w:r>
        <w:rPr>
          <w:rStyle w:val="27"/>
          <w:rFonts w:hint="eastAsia" w:ascii="黑体" w:hAnsi="黑体" w:eastAsia="黑体"/>
          <w:color w:val="auto"/>
          <w:highlight w:val="none"/>
        </w:rPr>
        <w:t>“</w:t>
      </w:r>
      <w:r>
        <w:rPr>
          <w:rStyle w:val="27"/>
          <w:rFonts w:hint="eastAsia" w:ascii="黑体" w:hAnsi="黑体" w:eastAsia="黑体"/>
          <w:b w:val="0"/>
          <w:color w:val="auto"/>
          <w:highlight w:val="none"/>
        </w:rPr>
        <w:t>三公”经费支出决算情况说明</w:t>
      </w:r>
      <w:bookmarkEnd w:id="54"/>
      <w:bookmarkEnd w:id="55"/>
      <w:bookmarkEnd w:id="56"/>
    </w:p>
    <w:p>
      <w:pPr>
        <w:spacing w:line="600" w:lineRule="exact"/>
        <w:ind w:firstLine="640"/>
        <w:outlineLvl w:val="2"/>
        <w:rPr>
          <w:rFonts w:ascii="仿宋" w:hAnsi="仿宋" w:eastAsia="仿宋"/>
          <w:b/>
          <w:color w:val="auto"/>
          <w:sz w:val="32"/>
          <w:szCs w:val="32"/>
          <w:highlight w:val="none"/>
        </w:rPr>
      </w:pPr>
      <w:bookmarkStart w:id="57" w:name="_Toc15377216"/>
      <w:bookmarkStart w:id="58" w:name="_Toc25489"/>
      <w:r>
        <w:rPr>
          <w:rFonts w:hint="eastAsia" w:ascii="仿宋" w:hAnsi="仿宋" w:eastAsia="仿宋"/>
          <w:b/>
          <w:color w:val="auto"/>
          <w:sz w:val="32"/>
          <w:szCs w:val="32"/>
          <w:highlight w:val="none"/>
        </w:rPr>
        <w:t>（一）“三公”经费财政拨款支出决算总体情况说明</w:t>
      </w:r>
      <w:bookmarkEnd w:id="57"/>
      <w:bookmarkEnd w:id="58"/>
    </w:p>
    <w:p>
      <w:pPr>
        <w:spacing w:line="600" w:lineRule="exact"/>
        <w:ind w:firstLine="640"/>
        <w:rPr>
          <w:rFonts w:hint="eastAsia" w:ascii="仿宋_GB2312" w:hAnsi="仿宋_GB2312" w:eastAsia="仿宋_GB2312" w:cs="仿宋_GB2312"/>
          <w:color w:val="000000"/>
          <w:sz w:val="32"/>
          <w:szCs w:val="32"/>
          <w:lang w:eastAsia="zh-CN"/>
        </w:rPr>
      </w:pPr>
      <w:bookmarkStart w:id="59" w:name="_Toc15377217"/>
      <w:bookmarkStart w:id="60" w:name="_Toc26202"/>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年“三公”经费财政拨款支出决算为</w:t>
      </w:r>
      <w:r>
        <w:rPr>
          <w:rFonts w:hint="eastAsia" w:ascii="仿宋_GB2312" w:hAnsi="仿宋_GB2312" w:eastAsia="仿宋_GB2312" w:cs="仿宋_GB2312"/>
          <w:color w:val="000000"/>
          <w:sz w:val="32"/>
          <w:szCs w:val="32"/>
          <w:lang w:val="en-US" w:eastAsia="zh-CN"/>
        </w:rPr>
        <w:t>0.7</w:t>
      </w:r>
      <w:r>
        <w:rPr>
          <w:rFonts w:hint="eastAsia" w:ascii="仿宋_GB2312" w:hAnsi="仿宋_GB2312" w:eastAsia="仿宋_GB2312" w:cs="仿宋_GB2312"/>
          <w:color w:val="000000"/>
          <w:sz w:val="32"/>
          <w:szCs w:val="32"/>
        </w:rPr>
        <w:t>万元，完成预算</w:t>
      </w:r>
      <w:r>
        <w:rPr>
          <w:rFonts w:hint="eastAsia" w:ascii="仿宋_GB2312" w:hAnsi="仿宋_GB2312" w:eastAsia="仿宋_GB2312" w:cs="仿宋_GB2312"/>
          <w:color w:val="000000"/>
          <w:sz w:val="32"/>
          <w:szCs w:val="32"/>
          <w:lang w:val="en-US" w:eastAsia="zh-CN"/>
        </w:rPr>
        <w:t>23.33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决算数小于预算数的主要原因</w:t>
      </w:r>
      <w:r>
        <w:rPr>
          <w:rFonts w:hint="eastAsia" w:ascii="仿宋_GB2312" w:hAnsi="仿宋_GB2312" w:eastAsia="仿宋_GB2312" w:cs="仿宋_GB2312"/>
          <w:color w:val="000000"/>
          <w:sz w:val="32"/>
          <w:szCs w:val="32"/>
          <w:lang w:val="en-US" w:eastAsia="zh-CN"/>
        </w:rPr>
        <w:t>:</w:t>
      </w:r>
      <w:r>
        <w:rPr>
          <w:rFonts w:hint="eastAsia" w:ascii="仿宋_GB2312" w:hAnsi="仿宋" w:eastAsia="仿宋_GB2312"/>
          <w:sz w:val="32"/>
          <w:szCs w:val="32"/>
        </w:rPr>
        <w:t>因</w:t>
      </w:r>
      <w:r>
        <w:rPr>
          <w:rFonts w:hint="eastAsia" w:ascii="仿宋_GB2312" w:hAnsi="仿宋" w:eastAsia="仿宋_GB2312"/>
          <w:sz w:val="32"/>
          <w:szCs w:val="32"/>
          <w:lang w:val="en-US" w:eastAsia="zh-CN"/>
        </w:rPr>
        <w:t>压减一般性支出预算资金，严控不必要的公务外出，弥补单位基本的运转支出。</w:t>
      </w:r>
    </w:p>
    <w:p>
      <w:pPr>
        <w:spacing w:line="600" w:lineRule="exact"/>
        <w:ind w:firstLine="640" w:firstLineChars="200"/>
      </w:pPr>
      <w:r>
        <w:rPr>
          <w:rFonts w:hint="eastAsia" w:ascii="仿宋" w:hAnsi="仿宋" w:eastAsia="仿宋"/>
          <w:color w:val="auto"/>
          <w:sz w:val="32"/>
          <w:szCs w:val="32"/>
          <w:highlight w:val="none"/>
        </w:rPr>
        <w:t>与20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eastAsia="zh-CN"/>
        </w:rPr>
        <w:t>决算数</w:t>
      </w:r>
      <w:r>
        <w:rPr>
          <w:rFonts w:hint="eastAsia" w:ascii="仿宋" w:hAnsi="仿宋" w:eastAsia="仿宋"/>
          <w:color w:val="auto"/>
          <w:sz w:val="32"/>
          <w:szCs w:val="32"/>
          <w:highlight w:val="none"/>
        </w:rPr>
        <w:t>相比，增加</w:t>
      </w:r>
      <w:r>
        <w:rPr>
          <w:rFonts w:hint="eastAsia" w:ascii="仿宋" w:hAnsi="仿宋" w:eastAsia="仿宋"/>
          <w:color w:val="auto"/>
          <w:sz w:val="32"/>
          <w:szCs w:val="32"/>
          <w:highlight w:val="none"/>
          <w:lang w:val="en-US" w:eastAsia="zh-CN"/>
        </w:rPr>
        <w:t>0.15</w:t>
      </w:r>
      <w:r>
        <w:rPr>
          <w:rFonts w:hint="eastAsia" w:ascii="仿宋" w:hAnsi="仿宋" w:eastAsia="仿宋"/>
          <w:color w:val="auto"/>
          <w:sz w:val="32"/>
          <w:szCs w:val="32"/>
          <w:highlight w:val="none"/>
        </w:rPr>
        <w:t>万元，增长</w:t>
      </w:r>
      <w:r>
        <w:rPr>
          <w:rFonts w:hint="eastAsia" w:ascii="仿宋" w:hAnsi="仿宋" w:eastAsia="仿宋"/>
          <w:color w:val="auto"/>
          <w:sz w:val="32"/>
          <w:szCs w:val="32"/>
          <w:highlight w:val="none"/>
          <w:lang w:val="en-US" w:eastAsia="zh-CN"/>
        </w:rPr>
        <w:t>27.27</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因业务工作的需要，增加使用车辆的次数</w:t>
      </w:r>
      <w:r>
        <w:rPr>
          <w:rFonts w:hint="eastAsia" w:ascii="仿宋" w:hAnsi="仿宋" w:eastAsia="仿宋"/>
          <w:color w:val="auto"/>
          <w:sz w:val="32"/>
          <w:szCs w:val="32"/>
          <w:highlight w:val="none"/>
          <w:lang w:eastAsia="zh-CN"/>
        </w:rPr>
        <w:t>。</w:t>
      </w:r>
    </w:p>
    <w:p>
      <w:pPr>
        <w:spacing w:line="600" w:lineRule="exact"/>
        <w:ind w:firstLine="640"/>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（二）“三公”经费财政拨款支出决算具体情况说明</w:t>
      </w:r>
      <w:bookmarkEnd w:id="59"/>
      <w:bookmarkEnd w:id="60"/>
    </w:p>
    <w:p>
      <w:pPr>
        <w:spacing w:line="600" w:lineRule="exact"/>
        <w:ind w:firstLine="640"/>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22</w:t>
      </w:r>
      <w:r>
        <w:rPr>
          <w:rFonts w:hint="eastAsia" w:ascii="仿宋" w:hAnsi="仿宋" w:eastAsia="仿宋"/>
          <w:color w:val="auto"/>
          <w:sz w:val="32"/>
          <w:szCs w:val="32"/>
          <w:highlight w:val="none"/>
        </w:rPr>
        <w:t>年“三公”经费财政拨款支出决算中，因公出国（境）费支出决算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val="en-US" w:eastAsia="zh-CN"/>
        </w:rPr>
        <w:t>0.7</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。具体情况如下：</w:t>
      </w:r>
    </w:p>
    <w:p>
      <w:pPr>
        <w:spacing w:line="600" w:lineRule="exact"/>
        <w:ind w:firstLine="640"/>
        <w:rPr>
          <w:rFonts w:hint="eastAsia" w:ascii="仿宋" w:hAnsi="仿宋" w:eastAsia="仿宋"/>
          <w:color w:val="auto"/>
          <w:sz w:val="32"/>
          <w:szCs w:val="32"/>
          <w:highlight w:val="none"/>
        </w:rPr>
      </w:pPr>
    </w:p>
    <w:p>
      <w:pPr>
        <w:spacing w:line="600" w:lineRule="exact"/>
        <w:ind w:firstLine="640"/>
        <w:rPr>
          <w:rFonts w:ascii="仿宋" w:hAnsi="仿宋" w:eastAsia="仿宋"/>
          <w:color w:val="auto"/>
          <w:sz w:val="32"/>
          <w:szCs w:val="32"/>
          <w:highlight w:val="none"/>
        </w:rPr>
      </w:pPr>
      <w:r>
        <w:drawing>
          <wp:anchor distT="0" distB="0" distL="114300" distR="114300" simplePos="0" relativeHeight="251665408" behindDoc="0" locked="0" layoutInCell="1" allowOverlap="1">
            <wp:simplePos x="0" y="0"/>
            <wp:positionH relativeFrom="column">
              <wp:posOffset>116205</wp:posOffset>
            </wp:positionH>
            <wp:positionV relativeFrom="paragraph">
              <wp:posOffset>314325</wp:posOffset>
            </wp:positionV>
            <wp:extent cx="5276850" cy="1962150"/>
            <wp:effectExtent l="4445" t="4445" r="14605" b="14605"/>
            <wp:wrapSquare wrapText="bothSides"/>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hint="eastAsia" w:ascii="仿宋" w:hAnsi="仿宋" w:eastAsia="仿宋"/>
          <w:color w:val="auto"/>
          <w:sz w:val="32"/>
          <w:szCs w:val="32"/>
          <w:highlight w:val="none"/>
        </w:rPr>
        <w:t>（图7：“三公”经费财政拨款支出结构）（饼状图）</w:t>
      </w:r>
    </w:p>
    <w:p>
      <w:pPr>
        <w:numPr>
          <w:ilvl w:val="0"/>
          <w:numId w:val="0"/>
        </w:numPr>
        <w:spacing w:line="600" w:lineRule="exact"/>
        <w:ind w:firstLine="643" w:firstLineChars="200"/>
        <w:rPr>
          <w:rFonts w:hint="eastAsia" w:ascii="仿宋_GB2312" w:eastAsia="仿宋_GB2312"/>
          <w:color w:val="auto"/>
          <w:sz w:val="32"/>
          <w:szCs w:val="32"/>
          <w:highlight w:val="none"/>
          <w:lang w:val="en-US" w:eastAsia="zh-CN"/>
        </w:rPr>
      </w:pPr>
      <w:r>
        <w:rPr>
          <w:rFonts w:hint="eastAsia" w:ascii="仿宋_GB2312" w:eastAsia="仿宋_GB2312"/>
          <w:b/>
          <w:color w:val="auto"/>
          <w:sz w:val="32"/>
          <w:szCs w:val="32"/>
          <w:highlight w:val="none"/>
          <w:lang w:val="en-US" w:eastAsia="zh-CN"/>
        </w:rPr>
        <w:t>1.</w:t>
      </w:r>
      <w:r>
        <w:rPr>
          <w:rFonts w:hint="eastAsia" w:ascii="仿宋_GB2312" w:eastAsia="仿宋_GB2312"/>
          <w:b/>
          <w:color w:val="auto"/>
          <w:sz w:val="32"/>
          <w:szCs w:val="32"/>
          <w:highlight w:val="none"/>
        </w:rPr>
        <w:t>因公出国（境）经费支出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全年安排因公出国（境）团组</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次，出国（境）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因公出国（境）支出决算数与</w:t>
      </w:r>
      <w:r>
        <w:rPr>
          <w:rFonts w:hint="eastAsia" w:ascii="仿宋_GB2312" w:eastAsia="仿宋_GB2312"/>
          <w:color w:val="auto"/>
          <w:sz w:val="32"/>
          <w:szCs w:val="32"/>
          <w:highlight w:val="none"/>
          <w:lang w:val="en-US" w:eastAsia="zh-CN"/>
        </w:rPr>
        <w:t>2021年持平。</w:t>
      </w:r>
    </w:p>
    <w:p>
      <w:pPr>
        <w:spacing w:line="600" w:lineRule="exact"/>
        <w:ind w:firstLine="643" w:firstLineChars="200"/>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仿宋_GB2312" w:eastAsia="仿宋_GB2312"/>
          <w:b/>
          <w:color w:val="auto"/>
          <w:sz w:val="32"/>
          <w:szCs w:val="32"/>
          <w:highlight w:val="none"/>
          <w:lang w:val="en-US" w:eastAsia="zh-CN"/>
        </w:rPr>
        <w:t>0.7</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23.33</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公务用车购置及运行维护费支出决算比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年增加</w:t>
      </w:r>
      <w:r>
        <w:rPr>
          <w:rFonts w:hint="eastAsia" w:ascii="仿宋_GB2312" w:eastAsia="仿宋_GB2312"/>
          <w:color w:val="auto"/>
          <w:sz w:val="32"/>
          <w:szCs w:val="32"/>
          <w:highlight w:val="none"/>
          <w:lang w:val="en-US" w:eastAsia="zh-CN"/>
        </w:rPr>
        <w:t>0.15</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27.27</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 w:hAnsi="仿宋" w:eastAsia="仿宋"/>
          <w:color w:val="auto"/>
          <w:sz w:val="32"/>
          <w:szCs w:val="32"/>
          <w:highlight w:val="none"/>
          <w:lang w:val="en-US" w:eastAsia="zh-CN"/>
        </w:rPr>
        <w:t>因业务工作的需要，增加使用车辆的次数</w:t>
      </w:r>
      <w:r>
        <w:rPr>
          <w:rFonts w:hint="eastAsia" w:ascii="仿宋" w:hAnsi="仿宋" w:eastAsia="仿宋"/>
          <w:color w:val="auto"/>
          <w:sz w:val="32"/>
          <w:szCs w:val="32"/>
          <w:highlight w:val="none"/>
          <w:lang w:eastAsia="zh-CN"/>
        </w:rPr>
        <w:t>。</w:t>
      </w:r>
    </w:p>
    <w:p>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仿宋_GB2312" w:eastAsia="仿宋_GB2312"/>
          <w:b/>
          <w:color w:val="auto"/>
          <w:sz w:val="32"/>
          <w:szCs w:val="32"/>
          <w:highlight w:val="none"/>
          <w:lang w:val="en-US" w:eastAsia="zh-CN"/>
        </w:rPr>
        <w:t>0</w:t>
      </w:r>
      <w:r>
        <w:rPr>
          <w:rFonts w:hint="eastAsia" w:ascii="仿宋_GB2312" w:eastAsia="仿宋_GB2312"/>
          <w:color w:val="auto"/>
          <w:sz w:val="32"/>
          <w:szCs w:val="32"/>
          <w:highlight w:val="none"/>
        </w:rPr>
        <w:t>万元。全年按规定更新购置公务用车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月底，单位共有公务用车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辆，其中：轿车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辆、载客汽车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p>
    <w:p>
      <w:pPr>
        <w:spacing w:line="600" w:lineRule="exact"/>
        <w:ind w:firstLine="640"/>
        <w:rPr>
          <w:rFonts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eastAsia="仿宋_GB2312"/>
          <w:b/>
          <w:color w:val="auto"/>
          <w:sz w:val="32"/>
          <w:szCs w:val="32"/>
          <w:highlight w:val="none"/>
          <w:lang w:val="en-US" w:eastAsia="zh-CN"/>
        </w:rPr>
        <w:t>0.7</w:t>
      </w:r>
      <w:r>
        <w:rPr>
          <w:rFonts w:hint="eastAsia" w:ascii="仿宋_GB2312" w:eastAsia="仿宋_GB2312"/>
          <w:color w:val="auto"/>
          <w:sz w:val="32"/>
          <w:szCs w:val="32"/>
          <w:highlight w:val="none"/>
        </w:rPr>
        <w:t>万元。主要用于</w:t>
      </w:r>
      <w:r>
        <w:rPr>
          <w:rFonts w:hint="eastAsia" w:ascii="仿宋_GB2312" w:eastAsia="仿宋_GB2312"/>
          <w:color w:val="000000"/>
          <w:sz w:val="32"/>
          <w:szCs w:val="32"/>
        </w:rPr>
        <w:t>保障单位日常工作开展</w:t>
      </w:r>
      <w:r>
        <w:rPr>
          <w:rFonts w:hint="eastAsia" w:ascii="仿宋_GB2312" w:eastAsia="仿宋_GB2312"/>
          <w:color w:val="000000"/>
          <w:sz w:val="32"/>
          <w:szCs w:val="32"/>
          <w:lang w:eastAsia="zh-CN"/>
        </w:rPr>
        <w:t>，到</w:t>
      </w:r>
      <w:r>
        <w:rPr>
          <w:rFonts w:hint="eastAsia" w:ascii="仿宋_GB2312" w:eastAsia="仿宋_GB2312"/>
          <w:color w:val="000000"/>
          <w:sz w:val="32"/>
          <w:szCs w:val="32"/>
        </w:rPr>
        <w:t>基层和企业调研</w:t>
      </w:r>
      <w:r>
        <w:rPr>
          <w:rFonts w:hint="eastAsia" w:ascii="仿宋_GB2312" w:eastAsia="仿宋_GB2312"/>
          <w:color w:val="auto"/>
          <w:sz w:val="32"/>
          <w:szCs w:val="32"/>
          <w:highlight w:val="none"/>
        </w:rPr>
        <w:t>等所需的公务用车燃料费、维修费、过路过桥费、保险费等支出。</w:t>
      </w:r>
    </w:p>
    <w:p>
      <w:pPr>
        <w:spacing w:line="600" w:lineRule="exact"/>
        <w:ind w:firstLine="640"/>
        <w:rPr>
          <w:rFonts w:ascii="仿宋_GB2312" w:eastAsia="仿宋_GB2312"/>
          <w:color w:val="auto"/>
          <w:sz w:val="32"/>
          <w:szCs w:val="32"/>
          <w:highlight w:val="none"/>
        </w:rPr>
      </w:pPr>
      <w:r>
        <w:rPr>
          <w:rFonts w:ascii="仿宋_GB2312" w:eastAsia="仿宋_GB2312"/>
          <w:b/>
          <w:color w:val="auto"/>
          <w:sz w:val="32"/>
          <w:szCs w:val="32"/>
          <w:highlight w:val="none"/>
        </w:rPr>
        <w:t>3.</w:t>
      </w:r>
      <w:r>
        <w:rPr>
          <w:rFonts w:hint="eastAsia" w:ascii="仿宋_GB2312" w:eastAsia="仿宋_GB2312"/>
          <w:b/>
          <w:color w:val="auto"/>
          <w:sz w:val="32"/>
          <w:szCs w:val="32"/>
          <w:highlight w:val="none"/>
        </w:rPr>
        <w:t>公务接待费支出</w:t>
      </w:r>
      <w:r>
        <w:rPr>
          <w:rFonts w:hint="eastAsia" w:ascii="仿宋_GB2312" w:eastAsia="仿宋_GB2312"/>
          <w:b/>
          <w:color w:val="auto"/>
          <w:sz w:val="32"/>
          <w:szCs w:val="32"/>
          <w:highlight w:val="none"/>
          <w:lang w:val="en-US" w:eastAsia="zh-CN"/>
        </w:rPr>
        <w:t>0</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公务接待费支出决算</w:t>
      </w:r>
      <w:r>
        <w:rPr>
          <w:rFonts w:hint="eastAsia" w:ascii="仿宋_GB2312" w:eastAsia="仿宋_GB2312"/>
          <w:color w:val="auto"/>
          <w:sz w:val="32"/>
          <w:szCs w:val="32"/>
          <w:highlight w:val="none"/>
          <w:lang w:val="en-US" w:eastAsia="zh-CN"/>
        </w:rPr>
        <w:t>与</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持平</w:t>
      </w:r>
      <w:r>
        <w:rPr>
          <w:rFonts w:hint="eastAsia" w:ascii="仿宋_GB2312" w:eastAsia="仿宋_GB2312"/>
          <w:color w:val="000000"/>
          <w:sz w:val="32"/>
          <w:szCs w:val="32"/>
        </w:rPr>
        <w:t>。</w:t>
      </w:r>
    </w:p>
    <w:p>
      <w:pPr>
        <w:spacing w:line="600" w:lineRule="exact"/>
        <w:ind w:firstLine="640"/>
        <w:rPr>
          <w:rFonts w:hint="eastAsia" w:ascii="仿宋_GB2312" w:eastAsia="仿宋_GB2312"/>
          <w:color w:val="auto"/>
          <w:sz w:val="32"/>
          <w:szCs w:val="32"/>
          <w:highlight w:val="none"/>
          <w:lang w:val="en-US" w:eastAsia="zh-CN"/>
        </w:rPr>
      </w:pPr>
      <w:r>
        <w:rPr>
          <w:rFonts w:hint="eastAsia" w:ascii="仿宋" w:hAnsi="仿宋" w:eastAsia="仿宋"/>
          <w:b/>
          <w:color w:val="auto"/>
          <w:sz w:val="32"/>
          <w:szCs w:val="32"/>
          <w:highlight w:val="none"/>
        </w:rPr>
        <w:t>国内公务接待支出</w:t>
      </w:r>
      <w:r>
        <w:rPr>
          <w:rFonts w:hint="eastAsia" w:ascii="仿宋" w:hAnsi="仿宋" w:eastAsia="仿宋"/>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国内公务接待</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人次，共计支出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spacing w:line="600" w:lineRule="exact"/>
        <w:ind w:firstLine="643" w:firstLineChars="200"/>
        <w:rPr>
          <w:rFonts w:ascii="黑体" w:eastAsia="黑体"/>
          <w:color w:val="auto"/>
          <w:sz w:val="32"/>
          <w:szCs w:val="32"/>
          <w:highlight w:val="none"/>
        </w:rPr>
      </w:pPr>
      <w:r>
        <w:rPr>
          <w:rFonts w:hint="eastAsia" w:ascii="仿宋" w:hAnsi="仿宋" w:eastAsia="仿宋"/>
          <w:b/>
          <w:color w:val="auto"/>
          <w:sz w:val="32"/>
          <w:szCs w:val="32"/>
          <w:highlight w:val="none"/>
        </w:rPr>
        <w:t>外事接待支出</w:t>
      </w:r>
      <w:r>
        <w:rPr>
          <w:rFonts w:hint="eastAsia" w:ascii="仿宋" w:hAnsi="仿宋" w:eastAsia="仿宋"/>
          <w:color w:val="auto"/>
          <w:sz w:val="32"/>
          <w:szCs w:val="32"/>
          <w:highlight w:val="none"/>
          <w:lang w:val="en-US" w:eastAsia="zh-CN"/>
        </w:rPr>
        <w:t>0</w:t>
      </w:r>
      <w:r>
        <w:rPr>
          <w:rFonts w:hint="eastAsia" w:ascii="仿宋_GB2312" w:eastAsia="仿宋_GB2312"/>
          <w:color w:val="auto"/>
          <w:sz w:val="32"/>
          <w:szCs w:val="32"/>
          <w:highlight w:val="none"/>
        </w:rPr>
        <w:t>万元，外事接待</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批次，</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次</w:t>
      </w:r>
      <w:r>
        <w:rPr>
          <w:rFonts w:hint="eastAsia" w:ascii="仿宋_GB2312" w:eastAsia="仿宋_GB2312"/>
          <w:color w:val="auto"/>
          <w:sz w:val="32"/>
          <w:szCs w:val="32"/>
          <w:highlight w:val="none"/>
        </w:rPr>
        <w:t>，共计支出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bookmarkStart w:id="61" w:name="_Toc15377218"/>
      <w:bookmarkStart w:id="62" w:name="_Toc15396610"/>
    </w:p>
    <w:p>
      <w:pPr>
        <w:spacing w:line="600" w:lineRule="exact"/>
        <w:ind w:firstLine="640"/>
        <w:outlineLvl w:val="1"/>
        <w:rPr>
          <w:rStyle w:val="27"/>
          <w:rFonts w:ascii="黑体" w:hAnsi="黑体" w:eastAsia="黑体"/>
          <w:color w:val="auto"/>
          <w:highlight w:val="none"/>
        </w:rPr>
      </w:pPr>
      <w:bookmarkStart w:id="63" w:name="_Toc18078"/>
      <w:r>
        <w:rPr>
          <w:rFonts w:hint="eastAsia" w:ascii="黑体" w:eastAsia="黑体"/>
          <w:color w:val="auto"/>
          <w:sz w:val="32"/>
          <w:szCs w:val="32"/>
          <w:highlight w:val="none"/>
        </w:rPr>
        <w:t>八、</w:t>
      </w:r>
      <w:r>
        <w:rPr>
          <w:rStyle w:val="27"/>
          <w:rFonts w:hint="eastAsia" w:ascii="黑体" w:hAnsi="黑体" w:eastAsia="黑体"/>
          <w:b w:val="0"/>
          <w:color w:val="auto"/>
          <w:highlight w:val="none"/>
        </w:rPr>
        <w:t>政府性基金预算支出决算情况说明</w:t>
      </w:r>
      <w:bookmarkEnd w:id="61"/>
      <w:bookmarkEnd w:id="62"/>
      <w:bookmarkEnd w:id="63"/>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年政府性基金预算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4"/>
        </w:numPr>
        <w:spacing w:line="600" w:lineRule="exact"/>
        <w:ind w:firstLine="640"/>
        <w:outlineLvl w:val="1"/>
        <w:rPr>
          <w:rStyle w:val="27"/>
          <w:rFonts w:ascii="黑体" w:hAnsi="黑体" w:eastAsia="黑体"/>
          <w:b w:val="0"/>
          <w:color w:val="auto"/>
          <w:highlight w:val="none"/>
        </w:rPr>
      </w:pPr>
      <w:bookmarkStart w:id="64" w:name="_Toc15377219"/>
      <w:bookmarkStart w:id="65" w:name="_Toc15396611"/>
      <w:bookmarkStart w:id="66" w:name="_Toc24290"/>
      <w:r>
        <w:rPr>
          <w:rStyle w:val="27"/>
          <w:rFonts w:hint="eastAsia" w:ascii="黑体" w:hAnsi="黑体" w:eastAsia="黑体"/>
          <w:b w:val="0"/>
          <w:color w:val="auto"/>
          <w:highlight w:val="none"/>
        </w:rPr>
        <w:t>国有资本经营预算支出决算情况说明</w:t>
      </w:r>
      <w:bookmarkEnd w:id="64"/>
      <w:bookmarkEnd w:id="65"/>
      <w:bookmarkEnd w:id="66"/>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年国有资本经营预算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4"/>
        </w:numPr>
        <w:spacing w:line="600" w:lineRule="exact"/>
        <w:ind w:firstLine="640"/>
        <w:outlineLvl w:val="1"/>
        <w:rPr>
          <w:rStyle w:val="27"/>
          <w:rFonts w:hint="eastAsia" w:ascii="黑体" w:hAnsi="黑体" w:eastAsia="黑体"/>
          <w:b w:val="0"/>
          <w:color w:val="auto"/>
          <w:highlight w:val="none"/>
        </w:rPr>
      </w:pPr>
      <w:bookmarkStart w:id="67" w:name="_Toc15377221"/>
      <w:bookmarkStart w:id="68" w:name="_Toc15396612"/>
      <w:bookmarkStart w:id="69" w:name="_Toc21015"/>
      <w:r>
        <w:rPr>
          <w:rStyle w:val="27"/>
          <w:rFonts w:hint="eastAsia" w:ascii="黑体" w:hAnsi="黑体" w:eastAsia="黑体"/>
          <w:b w:val="0"/>
          <w:color w:val="auto"/>
          <w:highlight w:val="none"/>
        </w:rPr>
        <w:t>其他重要事项的情况说明</w:t>
      </w:r>
      <w:bookmarkEnd w:id="67"/>
      <w:bookmarkEnd w:id="68"/>
      <w:bookmarkEnd w:id="69"/>
    </w:p>
    <w:p>
      <w:pPr>
        <w:spacing w:line="600" w:lineRule="exact"/>
        <w:ind w:firstLine="643" w:firstLineChars="200"/>
        <w:outlineLvl w:val="2"/>
        <w:rPr>
          <w:rFonts w:ascii="仿宋" w:hAnsi="仿宋" w:eastAsia="仿宋"/>
          <w:color w:val="auto"/>
          <w:sz w:val="32"/>
          <w:szCs w:val="32"/>
          <w:highlight w:val="none"/>
        </w:rPr>
      </w:pPr>
      <w:bookmarkStart w:id="70" w:name="_Toc20202"/>
      <w:bookmarkStart w:id="71" w:name="_Toc15377222"/>
      <w:r>
        <w:rPr>
          <w:rFonts w:hint="eastAsia" w:ascii="仿宋" w:hAnsi="仿宋" w:eastAsia="仿宋"/>
          <w:b/>
          <w:color w:val="auto"/>
          <w:sz w:val="32"/>
          <w:szCs w:val="32"/>
          <w:highlight w:val="none"/>
        </w:rPr>
        <w:t>（一）机关运行经费支出情况</w:t>
      </w:r>
      <w:bookmarkEnd w:id="70"/>
      <w:bookmarkEnd w:id="71"/>
    </w:p>
    <w:p>
      <w:pPr>
        <w:spacing w:line="600" w:lineRule="exact"/>
        <w:ind w:firstLine="640"/>
        <w:rPr>
          <w:rFonts w:hint="eastAsia"/>
          <w:lang w:eastAsia="zh-CN"/>
        </w:rPr>
      </w:pPr>
      <w:r>
        <w:rPr>
          <w:rFonts w:hint="eastAsia" w:ascii="仿宋_GB2312" w:eastAsia="仿宋_GB2312"/>
          <w:color w:val="auto"/>
          <w:sz w:val="32"/>
          <w:szCs w:val="32"/>
          <w:highlight w:val="none"/>
          <w:lang w:val="en-US" w:eastAsia="zh-CN"/>
        </w:rPr>
        <w:t>内江市科技服务中心属于财政补助的事业单位，2022年无机关运行经费</w:t>
      </w:r>
      <w:r>
        <w:rPr>
          <w:rFonts w:hint="eastAsia" w:ascii="仿宋_GB2312" w:eastAsia="仿宋_GB2312"/>
          <w:color w:val="auto"/>
          <w:sz w:val="32"/>
          <w:szCs w:val="32"/>
          <w:highlight w:val="none"/>
          <w:lang w:eastAsia="zh-CN"/>
        </w:rPr>
        <w:t>。</w:t>
      </w:r>
      <w:bookmarkStart w:id="72" w:name="_Toc15377223"/>
      <w:bookmarkStart w:id="73" w:name="_Toc30157"/>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（二）政府采购支出情况</w:t>
      </w:r>
      <w:bookmarkEnd w:id="72"/>
      <w:bookmarkEnd w:id="73"/>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内江市科技服务中心</w:t>
      </w:r>
      <w:r>
        <w:rPr>
          <w:rFonts w:hint="eastAsia" w:ascii="仿宋_GB2312" w:eastAsia="仿宋_GB2312"/>
          <w:color w:val="auto"/>
          <w:sz w:val="32"/>
          <w:szCs w:val="32"/>
          <w:highlight w:val="none"/>
        </w:rPr>
        <w:t>政府采购支出总额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万元，其中：政府采购货物支出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万元、政府采购工程支出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万元、政府采购服务支出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万元。授予中小企业合同金额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74" w:name="_Toc1784"/>
      <w:bookmarkStart w:id="75" w:name="_Toc15377224"/>
      <w:r>
        <w:rPr>
          <w:rFonts w:hint="eastAsia" w:ascii="仿宋" w:hAnsi="仿宋" w:eastAsia="仿宋"/>
          <w:b/>
          <w:color w:val="auto"/>
          <w:sz w:val="32"/>
          <w:szCs w:val="32"/>
          <w:highlight w:val="none"/>
        </w:rPr>
        <w:t>（三）国有资产占有使用情况</w:t>
      </w:r>
      <w:bookmarkEnd w:id="74"/>
      <w:bookmarkEnd w:id="75"/>
    </w:p>
    <w:p>
      <w:pPr>
        <w:autoSpaceDE w:val="0"/>
        <w:autoSpaceDN w:val="0"/>
        <w:adjustRightInd w:val="0"/>
        <w:spacing w:line="60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31</w:t>
      </w:r>
      <w:r>
        <w:rPr>
          <w:rFonts w:hint="eastAsia" w:ascii="仿宋_GB2312" w:eastAsia="仿宋_GB2312"/>
          <w:color w:val="auto"/>
          <w:sz w:val="32"/>
          <w:szCs w:val="32"/>
          <w:highlight w:val="none"/>
        </w:rPr>
        <w:t>日，</w:t>
      </w:r>
      <w:r>
        <w:rPr>
          <w:rFonts w:hint="eastAsia" w:ascii="仿宋_GB2312" w:eastAsia="仿宋_GB2312"/>
          <w:color w:val="auto"/>
          <w:sz w:val="32"/>
          <w:szCs w:val="32"/>
          <w:highlight w:val="none"/>
          <w:lang w:val="en-US" w:eastAsia="zh-CN"/>
        </w:rPr>
        <w:t>内江市科技服务中心</w:t>
      </w:r>
      <w:r>
        <w:rPr>
          <w:rFonts w:hint="eastAsia" w:ascii="仿宋_GB2312" w:eastAsia="仿宋_GB2312"/>
          <w:color w:val="auto"/>
          <w:sz w:val="32"/>
          <w:szCs w:val="32"/>
          <w:highlight w:val="none"/>
        </w:rPr>
        <w:t>共有车辆</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辆，其中：主要领导干部用车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辆、应急保障用车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辆、其他用车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其他用车主要是用于</w:t>
      </w:r>
      <w:r>
        <w:rPr>
          <w:rFonts w:hint="eastAsia" w:ascii="仿宋_GB2312" w:hAnsi="仿宋_GB2312" w:eastAsia="仿宋_GB2312" w:cs="仿宋_GB2312"/>
          <w:sz w:val="32"/>
          <w:szCs w:val="32"/>
        </w:rPr>
        <w:t>保障单位日常工作开展</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w:t>
      </w:r>
    </w:p>
    <w:p>
      <w:pPr>
        <w:autoSpaceDE w:val="0"/>
        <w:autoSpaceDN w:val="0"/>
        <w:adjustRightInd w:val="0"/>
        <w:spacing w:line="600" w:lineRule="exact"/>
        <w:ind w:firstLine="643" w:firstLineChars="200"/>
        <w:jc w:val="left"/>
        <w:outlineLvl w:val="2"/>
        <w:rPr>
          <w:rFonts w:hint="eastAsia" w:ascii="仿宋" w:hAnsi="仿宋" w:eastAsia="仿宋"/>
          <w:b/>
          <w:color w:val="auto"/>
          <w:sz w:val="32"/>
          <w:szCs w:val="32"/>
          <w:highlight w:val="none"/>
          <w:lang w:eastAsia="zh-CN"/>
        </w:rPr>
      </w:pPr>
      <w:bookmarkStart w:id="76" w:name="_Toc26668"/>
      <w:r>
        <w:rPr>
          <w:rFonts w:hint="eastAsia" w:ascii="仿宋" w:hAnsi="仿宋" w:eastAsia="仿宋"/>
          <w:b/>
          <w:color w:val="auto"/>
          <w:sz w:val="32"/>
          <w:szCs w:val="32"/>
          <w:highlight w:val="none"/>
        </w:rPr>
        <w:t>（四）预算绩效管理情况</w:t>
      </w:r>
      <w:bookmarkEnd w:id="76"/>
    </w:p>
    <w:p>
      <w:pPr>
        <w:pStyle w:val="2"/>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根据预算绩效管理要求，本单位在202</w:t>
      </w:r>
      <w:r>
        <w:rPr>
          <w:rFonts w:hint="eastAsia"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年度预算编制阶段，组织对</w:t>
      </w:r>
      <w:r>
        <w:rPr>
          <w:rFonts w:hint="eastAsia" w:hAnsi="仿宋_GB2312" w:cs="仿宋_GB2312"/>
          <w:color w:val="auto"/>
          <w:sz w:val="32"/>
          <w:szCs w:val="32"/>
          <w:highlight w:val="none"/>
          <w:lang w:val="en-US" w:eastAsia="zh-CN"/>
        </w:rPr>
        <w:t>工资性支出、社保缴费、离退休费</w:t>
      </w:r>
      <w:bookmarkStart w:id="112" w:name="_GoBack"/>
      <w:bookmarkEnd w:id="112"/>
      <w:r>
        <w:rPr>
          <w:rFonts w:hint="eastAsia" w:ascii="仿宋_GB2312" w:hAnsi="仿宋_GB2312" w:eastAsia="仿宋_GB2312" w:cs="仿宋_GB2312"/>
          <w:color w:val="auto"/>
          <w:sz w:val="32"/>
          <w:szCs w:val="32"/>
          <w:highlight w:val="none"/>
        </w:rPr>
        <w:t>等</w:t>
      </w:r>
      <w:r>
        <w:rPr>
          <w:rFonts w:hint="eastAsia"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个项目开展了预算事前绩效评估，对</w:t>
      </w:r>
      <w:r>
        <w:rPr>
          <w:rFonts w:hint="eastAsia"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个项目编制了绩效目标，预算执行过程中，选取</w:t>
      </w:r>
      <w:r>
        <w:rPr>
          <w:rFonts w:hint="eastAsia"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个项目开展绩效监控，组织对</w:t>
      </w:r>
      <w:r>
        <w:rPr>
          <w:rFonts w:hint="eastAsia"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个项目开展绩效自评，绩效自评表详见</w:t>
      </w:r>
      <w:r>
        <w:rPr>
          <w:rFonts w:hint="eastAsia" w:hAnsi="仿宋_GB2312" w:cs="仿宋_GB2312"/>
          <w:color w:val="auto"/>
          <w:sz w:val="32"/>
          <w:szCs w:val="32"/>
          <w:highlight w:val="none"/>
          <w:lang w:eastAsia="zh-CN"/>
        </w:rPr>
        <w:t>第四部分</w:t>
      </w:r>
      <w:r>
        <w:rPr>
          <w:rFonts w:hint="eastAsia" w:ascii="仿宋_GB2312" w:hAnsi="仿宋_GB2312" w:eastAsia="仿宋_GB2312" w:cs="仿宋_GB2312"/>
          <w:color w:val="auto"/>
          <w:sz w:val="32"/>
          <w:szCs w:val="32"/>
          <w:highlight w:val="none"/>
        </w:rPr>
        <w:t>附件。</w:t>
      </w:r>
    </w:p>
    <w:p>
      <w:pPr>
        <w:numPr>
          <w:ilvl w:val="0"/>
          <w:numId w:val="5"/>
        </w:numPr>
        <w:spacing w:line="600" w:lineRule="exact"/>
        <w:ind w:firstLine="660" w:firstLineChars="150"/>
        <w:jc w:val="center"/>
        <w:outlineLvl w:val="0"/>
        <w:rPr>
          <w:rStyle w:val="26"/>
          <w:rFonts w:ascii="黑体" w:hAnsi="黑体" w:eastAsia="黑体"/>
          <w:b w:val="0"/>
          <w:color w:val="auto"/>
          <w:highlight w:val="none"/>
        </w:rPr>
      </w:pPr>
      <w:bookmarkStart w:id="77" w:name="_Toc15396613"/>
      <w:bookmarkStart w:id="78" w:name="_Toc15377225"/>
      <w:bookmarkStart w:id="79" w:name="_Toc21476"/>
      <w:r>
        <w:rPr>
          <w:rFonts w:hint="eastAsia" w:ascii="黑体" w:hAnsi="黑体" w:eastAsia="黑体"/>
          <w:color w:val="auto"/>
          <w:sz w:val="44"/>
          <w:szCs w:val="44"/>
          <w:highlight w:val="none"/>
        </w:rPr>
        <w:t>名</w:t>
      </w:r>
      <w:r>
        <w:rPr>
          <w:rStyle w:val="26"/>
          <w:rFonts w:hint="eastAsia" w:ascii="黑体" w:hAnsi="黑体" w:eastAsia="黑体"/>
          <w:b w:val="0"/>
          <w:color w:val="auto"/>
          <w:highlight w:val="none"/>
        </w:rPr>
        <w:t>词解释</w:t>
      </w:r>
      <w:bookmarkEnd w:id="77"/>
      <w:bookmarkEnd w:id="78"/>
      <w:bookmarkEnd w:id="79"/>
    </w:p>
    <w:p>
      <w:pPr>
        <w:spacing w:line="600" w:lineRule="exact"/>
        <w:jc w:val="left"/>
        <w:rPr>
          <w:rFonts w:ascii="宋体"/>
          <w:b/>
          <w:color w:val="auto"/>
          <w:sz w:val="44"/>
          <w:szCs w:val="44"/>
          <w:highlight w:val="none"/>
        </w:rPr>
      </w:pP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财政拨款收入：指单位从同级财政部门取得的财政预算资金。</w:t>
      </w:r>
    </w:p>
    <w:p>
      <w:pPr>
        <w:pStyle w:val="24"/>
        <w:spacing w:line="560" w:lineRule="exact"/>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rPr>
        <w:t>事业收入：指事业单位开展专业业务活动及辅助活动取得的收入。</w:t>
      </w:r>
    </w:p>
    <w:p>
      <w:pPr>
        <w:pStyle w:val="24"/>
        <w:spacing w:line="560" w:lineRule="exact"/>
        <w:ind w:firstLine="640" w:firstLineChars="200"/>
        <w:rPr>
          <w:rFonts w:hint="eastAsia" w:ascii="仿宋_GB2312" w:eastAsia="仿宋_GB2312"/>
          <w:color w:val="auto"/>
          <w:sz w:val="32"/>
          <w:szCs w:val="32"/>
          <w:highlight w:val="none"/>
        </w:rPr>
      </w:pPr>
      <w:r>
        <w:rPr>
          <w:rFonts w:ascii="仿宋_GB2312" w:eastAsia="仿宋_GB2312"/>
          <w:color w:val="auto"/>
          <w:sz w:val="32"/>
          <w:szCs w:val="32"/>
          <w:highlight w:val="none"/>
        </w:rPr>
        <w:t>3.</w:t>
      </w:r>
      <w:r>
        <w:rPr>
          <w:rFonts w:hint="eastAsia" w:ascii="仿宋_GB2312" w:eastAsia="仿宋_GB2312"/>
          <w:color w:val="auto"/>
          <w:sz w:val="32"/>
          <w:szCs w:val="32"/>
          <w:highlight w:val="none"/>
        </w:rPr>
        <w:t>经营收入：指事业单位在专业业务活动及其辅助活动之外开展非独立核算经营活动取得的收入。</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4.</w:t>
      </w:r>
      <w:r>
        <w:rPr>
          <w:rFonts w:hint="eastAsia" w:ascii="仿宋_GB2312" w:eastAsia="仿宋_GB2312"/>
          <w:color w:val="auto"/>
          <w:sz w:val="32"/>
          <w:szCs w:val="32"/>
          <w:highlight w:val="none"/>
        </w:rPr>
        <w:t>其他收入：指单位取得的除上述收入以外的各项收入。</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5.</w:t>
      </w:r>
      <w:r>
        <w:rPr>
          <w:rFonts w:hint="eastAsia" w:ascii="仿宋_GB2312" w:eastAsia="仿宋_GB2312"/>
          <w:color w:val="auto"/>
          <w:sz w:val="32"/>
          <w:szCs w:val="32"/>
          <w:highlight w:val="none"/>
          <w:lang w:eastAsia="zh-CN"/>
        </w:rPr>
        <w:t>使用非财政拨款结余</w:t>
      </w:r>
      <w:r>
        <w:rPr>
          <w:rFonts w:hint="eastAsia" w:ascii="仿宋_GB2312" w:eastAsia="仿宋_GB2312"/>
          <w:color w:val="auto"/>
          <w:sz w:val="32"/>
          <w:szCs w:val="32"/>
          <w:highlight w:val="none"/>
        </w:rPr>
        <w:t>：指事业单位</w:t>
      </w:r>
      <w:r>
        <w:rPr>
          <w:rFonts w:hint="eastAsia" w:ascii="仿宋_GB2312" w:eastAsia="仿宋_GB2312"/>
          <w:color w:val="auto"/>
          <w:sz w:val="32"/>
          <w:szCs w:val="32"/>
          <w:highlight w:val="none"/>
          <w:lang w:eastAsia="zh-CN"/>
        </w:rPr>
        <w:t>使用以前年度积累的非财政拨款结余弥补当年收支差额的金额。</w:t>
      </w:r>
      <w:r>
        <w:rPr>
          <w:rFonts w:ascii="仿宋_GB2312" w:eastAsia="仿宋_GB2312"/>
          <w:color w:val="auto"/>
          <w:sz w:val="32"/>
          <w:szCs w:val="32"/>
          <w:highlight w:val="none"/>
        </w:rPr>
        <w:t xml:space="preserve"> </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6.</w:t>
      </w:r>
      <w:r>
        <w:rPr>
          <w:rFonts w:hint="eastAsia" w:ascii="仿宋_GB2312" w:eastAsia="仿宋_GB2312"/>
          <w:color w:val="auto"/>
          <w:sz w:val="32"/>
          <w:szCs w:val="32"/>
          <w:highlight w:val="none"/>
        </w:rPr>
        <w:t>年初结转和结余：指以前年度尚未完成、结转到本年按有关规定继续使用的资金。</w:t>
      </w:r>
      <w:r>
        <w:rPr>
          <w:rFonts w:ascii="仿宋_GB2312" w:eastAsia="仿宋_GB2312"/>
          <w:color w:val="auto"/>
          <w:sz w:val="32"/>
          <w:szCs w:val="32"/>
          <w:highlight w:val="none"/>
        </w:rPr>
        <w:t xml:space="preserve"> </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7.</w:t>
      </w:r>
      <w:r>
        <w:rPr>
          <w:rFonts w:hint="eastAsia" w:ascii="仿宋_GB2312" w:eastAsia="仿宋_GB2312"/>
          <w:color w:val="auto"/>
          <w:sz w:val="32"/>
          <w:szCs w:val="32"/>
          <w:highlight w:val="none"/>
        </w:rPr>
        <w:t>结余分配：指事业单位按照会计制度规定</w:t>
      </w:r>
      <w:r>
        <w:rPr>
          <w:rFonts w:hint="eastAsia" w:ascii="仿宋_GB2312" w:eastAsia="仿宋_GB2312"/>
          <w:color w:val="auto"/>
          <w:sz w:val="32"/>
          <w:szCs w:val="32"/>
          <w:highlight w:val="none"/>
          <w:lang w:eastAsia="zh-CN"/>
        </w:rPr>
        <w:t>缴纳的所得税、提取的专用结余以及转入非财政拨款结余的金额</w:t>
      </w:r>
      <w:r>
        <w:rPr>
          <w:rFonts w:hint="eastAsia" w:ascii="仿宋_GB2312" w:eastAsia="仿宋_GB2312"/>
          <w:color w:val="auto"/>
          <w:sz w:val="32"/>
          <w:szCs w:val="32"/>
          <w:highlight w:val="none"/>
        </w:rPr>
        <w:t>等。</w:t>
      </w:r>
    </w:p>
    <w:p>
      <w:pPr>
        <w:pStyle w:val="24"/>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8</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年末结转和结余：指单位按有关规定结转到下年或以后年度继续使用的资金。</w:t>
      </w:r>
    </w:p>
    <w:p>
      <w:pPr>
        <w:ind w:firstLine="640" w:firstLineChars="200"/>
        <w:rPr>
          <w:rFonts w:ascii="仿宋_GB2312" w:eastAsia="仿宋_GB2312"/>
          <w:color w:val="000000"/>
          <w:sz w:val="32"/>
          <w:szCs w:val="32"/>
        </w:rPr>
      </w:pPr>
      <w:r>
        <w:rPr>
          <w:rFonts w:ascii="仿宋_GB2312" w:eastAsia="仿宋_GB2312"/>
          <w:color w:val="000000"/>
          <w:sz w:val="32"/>
          <w:szCs w:val="32"/>
        </w:rPr>
        <w:t>9.</w:t>
      </w:r>
      <w:r>
        <w:rPr>
          <w:rFonts w:hint="eastAsia" w:ascii="仿宋_GB2312" w:hAnsi="仿宋_GB2312" w:eastAsia="仿宋_GB2312" w:cs="仿宋_GB2312"/>
          <w:color w:val="000000"/>
          <w:sz w:val="32"/>
          <w:szCs w:val="32"/>
        </w:rPr>
        <w:t>教育（类）进修及培训（款）培训支出（项）:</w:t>
      </w:r>
      <w:r>
        <w:rPr>
          <w:rFonts w:hint="eastAsia" w:ascii="仿宋_GB2312" w:hAnsi="仿宋_GB2312" w:eastAsia="仿宋_GB2312" w:cs="仿宋_GB2312"/>
          <w:color w:val="000000"/>
          <w:sz w:val="32"/>
          <w:szCs w:val="32"/>
          <w:lang w:val="en-US" w:eastAsia="zh-CN"/>
        </w:rPr>
        <w:t>指</w:t>
      </w:r>
      <w:r>
        <w:rPr>
          <w:rFonts w:hint="eastAsia" w:ascii="仿宋_GB2312" w:eastAsia="仿宋_GB2312" w:cs="仿宋"/>
          <w:color w:val="000000"/>
          <w:kern w:val="0"/>
          <w:sz w:val="32"/>
          <w:szCs w:val="32"/>
          <w:lang w:val="en-US" w:bidi="ar-SA"/>
        </w:rPr>
        <w:t>反映各部门安排的用于培训的支出</w:t>
      </w:r>
      <w:r>
        <w:rPr>
          <w:rFonts w:hint="eastAsia" w:ascii="仿宋_GB2312" w:hAnsi="仿宋_GB2312" w:eastAsia="仿宋_GB2312" w:cs="仿宋_GB2312"/>
          <w:color w:val="000000"/>
          <w:sz w:val="32"/>
          <w:szCs w:val="32"/>
        </w:rPr>
        <w:t>。</w:t>
      </w:r>
    </w:p>
    <w:p>
      <w:pPr>
        <w:pageBreakBefore w:val="0"/>
        <w:kinsoku/>
        <w:wordWrap/>
        <w:overflowPunct/>
        <w:topLinePunct w:val="0"/>
        <w:bidi w:val="0"/>
        <w:spacing w:line="600" w:lineRule="exact"/>
        <w:ind w:firstLine="640" w:firstLineChars="200"/>
        <w:rPr>
          <w:rFonts w:hint="eastAsia" w:ascii="仿宋_GB2312" w:hAnsi="仿宋" w:eastAsia="仿宋_GB2312" w:cs="Times New Roman"/>
          <w:color w:val="000000"/>
          <w:sz w:val="32"/>
          <w:szCs w:val="32"/>
          <w:lang w:val="en-US" w:eastAsia="zh-CN"/>
        </w:rPr>
      </w:pPr>
      <w:r>
        <w:rPr>
          <w:rFonts w:ascii="仿宋_GB2312" w:eastAsia="仿宋_GB2312"/>
          <w:color w:val="000000"/>
          <w:sz w:val="32"/>
          <w:szCs w:val="32"/>
        </w:rPr>
        <w:t>1</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hAnsi="仿宋" w:eastAsia="仿宋_GB2312" w:cs="Times New Roman"/>
          <w:color w:val="000000"/>
          <w:sz w:val="32"/>
          <w:szCs w:val="32"/>
          <w:lang w:eastAsia="zh-CN"/>
        </w:rPr>
        <w:t>科学技术（类）科学技术普及（款）机构运行（项）:</w:t>
      </w:r>
      <w:r>
        <w:rPr>
          <w:rFonts w:hint="eastAsia" w:ascii="仿宋_GB2312" w:hAnsi="仿宋" w:eastAsia="仿宋_GB2312" w:cs="Times New Roman"/>
          <w:color w:val="000000"/>
          <w:sz w:val="32"/>
          <w:szCs w:val="32"/>
          <w:lang w:val="en-US" w:eastAsia="zh-CN"/>
        </w:rPr>
        <w:t>指</w:t>
      </w:r>
      <w:r>
        <w:rPr>
          <w:rFonts w:hint="eastAsia" w:ascii="仿宋_GB2312" w:eastAsia="仿宋_GB2312" w:cs="仿宋"/>
          <w:color w:val="000000"/>
          <w:kern w:val="0"/>
          <w:sz w:val="32"/>
          <w:szCs w:val="32"/>
          <w:lang w:val="en-US" w:bidi="ar-SA"/>
        </w:rPr>
        <w:t>反映科普事业单位的基本支出</w:t>
      </w:r>
      <w:r>
        <w:rPr>
          <w:rFonts w:hint="eastAsia" w:ascii="仿宋_GB2312" w:hAnsi="仿宋" w:eastAsia="仿宋_GB2312" w:cs="Times New Roman"/>
          <w:color w:val="000000"/>
          <w:sz w:val="32"/>
          <w:szCs w:val="32"/>
          <w:lang w:val="en-US" w:eastAsia="zh-CN"/>
        </w:rPr>
        <w:t>。</w:t>
      </w:r>
    </w:p>
    <w:p>
      <w:pPr>
        <w:spacing w:line="600" w:lineRule="exact"/>
        <w:ind w:firstLine="640" w:firstLineChars="200"/>
        <w:rPr>
          <w:rFonts w:hint="eastAsia" w:ascii="仿宋_GB2312" w:hAnsi="仿宋" w:eastAsia="仿宋_GB2312"/>
          <w:color w:val="000000"/>
          <w:sz w:val="32"/>
          <w:szCs w:val="32"/>
        </w:rPr>
      </w:pPr>
      <w:r>
        <w:rPr>
          <w:rFonts w:ascii="仿宋_GB2312" w:eastAsia="仿宋_GB2312"/>
          <w:color w:val="000000"/>
          <w:sz w:val="32"/>
          <w:szCs w:val="32"/>
        </w:rPr>
        <w:t>1</w:t>
      </w:r>
      <w:r>
        <w:rPr>
          <w:rFonts w:hint="eastAsia" w:ascii="仿宋_GB2312" w:eastAsia="仿宋_GB2312"/>
          <w:color w:val="000000"/>
          <w:sz w:val="32"/>
          <w:szCs w:val="32"/>
          <w:lang w:val="en-US" w:eastAsia="zh-CN"/>
        </w:rPr>
        <w:t>1</w:t>
      </w:r>
      <w:r>
        <w:rPr>
          <w:rFonts w:ascii="仿宋_GB2312" w:eastAsia="仿宋_GB2312"/>
          <w:color w:val="000000"/>
          <w:sz w:val="32"/>
          <w:szCs w:val="32"/>
        </w:rPr>
        <w:t>.</w:t>
      </w:r>
      <w:r>
        <w:rPr>
          <w:rFonts w:hint="eastAsia" w:ascii="仿宋_GB2312" w:hAnsi="仿宋" w:eastAsia="仿宋_GB2312"/>
          <w:color w:val="000000"/>
          <w:sz w:val="32"/>
          <w:szCs w:val="32"/>
        </w:rPr>
        <w:t>社会保障和就业支出（类）行政事业单位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（款）事业单位离退休（项）:</w:t>
      </w:r>
      <w:r>
        <w:rPr>
          <w:rFonts w:hint="eastAsia" w:ascii="仿宋_GB2312" w:eastAsia="仿宋_GB2312" w:cs="仿宋"/>
          <w:color w:val="000000"/>
          <w:kern w:val="0"/>
          <w:sz w:val="32"/>
          <w:szCs w:val="32"/>
          <w:lang w:val="en-US" w:bidi="ar-SA"/>
        </w:rPr>
        <w:t>反映事业单位开支的离退休经费</w:t>
      </w:r>
      <w:r>
        <w:rPr>
          <w:rStyle w:val="16"/>
          <w:rFonts w:hint="eastAsia" w:ascii="仿宋" w:hAnsi="仿宋" w:eastAsia="仿宋"/>
          <w:b w:val="0"/>
          <w:bCs/>
          <w:color w:val="000000"/>
          <w:sz w:val="32"/>
          <w:szCs w:val="32"/>
        </w:rPr>
        <w:t>。</w:t>
      </w:r>
    </w:p>
    <w:p>
      <w:pPr>
        <w:spacing w:line="600" w:lineRule="exact"/>
        <w:ind w:firstLine="640" w:firstLineChars="200"/>
        <w:rPr>
          <w:rFonts w:hint="eastAsia" w:ascii="仿宋_GB2312" w:hAnsi="仿宋" w:eastAsia="仿宋_GB2312" w:cs="Times New Roman"/>
          <w:color w:val="000000"/>
          <w:sz w:val="32"/>
          <w:szCs w:val="32"/>
        </w:rPr>
      </w:pPr>
      <w:r>
        <w:rPr>
          <w:rFonts w:hint="eastAsia" w:ascii="仿宋_GB2312" w:hAnsi="仿宋" w:eastAsia="仿宋_GB2312"/>
          <w:color w:val="000000"/>
          <w:sz w:val="32"/>
          <w:szCs w:val="32"/>
        </w:rPr>
        <w:t>1</w:t>
      </w:r>
      <w:r>
        <w:rPr>
          <w:rFonts w:hint="eastAsia" w:ascii="仿宋_GB2312" w:hAnsi="仿宋" w:eastAsia="仿宋_GB2312"/>
          <w:color w:val="000000"/>
          <w:sz w:val="32"/>
          <w:szCs w:val="32"/>
          <w:lang w:val="en-US" w:eastAsia="zh-CN"/>
        </w:rPr>
        <w:t>2</w:t>
      </w:r>
      <w:r>
        <w:rPr>
          <w:rFonts w:hint="eastAsia" w:ascii="仿宋_GB2312" w:hAnsi="仿宋" w:eastAsia="仿宋_GB2312"/>
          <w:color w:val="000000"/>
          <w:sz w:val="32"/>
          <w:szCs w:val="32"/>
        </w:rPr>
        <w:t>.社会保障和就业（类）行政事业单位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（款）机关事业单位基本养老保险缴费支出（项）:</w:t>
      </w:r>
      <w:r>
        <w:rPr>
          <w:rFonts w:hint="eastAsia" w:ascii="仿宋_GB2312" w:eastAsia="仿宋_GB2312" w:cs="仿宋"/>
          <w:color w:val="000000"/>
          <w:kern w:val="0"/>
          <w:sz w:val="32"/>
          <w:szCs w:val="32"/>
          <w:lang w:val="en-US" w:bidi="ar-SA"/>
        </w:rPr>
        <w:t>反映机关事业单位实施养老保险制度由单位缴纳的基本养老保险费支出</w:t>
      </w:r>
      <w:r>
        <w:rPr>
          <w:rFonts w:hint="eastAsia" w:ascii="仿宋_GB2312" w:hAnsi="仿宋" w:eastAsia="仿宋_GB2312" w:cs="Times New Roman"/>
          <w:color w:val="000000"/>
          <w:sz w:val="32"/>
          <w:szCs w:val="32"/>
        </w:rPr>
        <w:t>。</w:t>
      </w:r>
    </w:p>
    <w:p>
      <w:pPr>
        <w:spacing w:line="600" w:lineRule="exact"/>
        <w:ind w:firstLine="640" w:firstLineChars="200"/>
        <w:rPr>
          <w:rStyle w:val="16"/>
          <w:rFonts w:hint="eastAsia" w:ascii="仿宋" w:hAnsi="仿宋" w:eastAsia="仿宋"/>
          <w:b w:val="0"/>
          <w:bCs/>
          <w:color w:val="000000"/>
          <w:sz w:val="32"/>
          <w:szCs w:val="32"/>
        </w:rPr>
      </w:pPr>
      <w:r>
        <w:rPr>
          <w:rFonts w:hint="eastAsia" w:ascii="仿宋_GB2312" w:hAnsi="仿宋" w:eastAsia="仿宋_GB2312"/>
          <w:color w:val="000000"/>
          <w:sz w:val="32"/>
          <w:szCs w:val="32"/>
        </w:rPr>
        <w:t>1</w:t>
      </w:r>
      <w:r>
        <w:rPr>
          <w:rFonts w:hint="eastAsia" w:ascii="仿宋_GB2312" w:hAnsi="仿宋" w:eastAsia="仿宋_GB2312"/>
          <w:color w:val="000000"/>
          <w:sz w:val="32"/>
          <w:szCs w:val="32"/>
          <w:lang w:val="en-US" w:eastAsia="zh-CN"/>
        </w:rPr>
        <w:t>3</w:t>
      </w:r>
      <w:r>
        <w:rPr>
          <w:rFonts w:hint="eastAsia" w:ascii="仿宋_GB2312" w:hAnsi="仿宋" w:eastAsia="仿宋_GB2312"/>
          <w:color w:val="000000"/>
          <w:sz w:val="32"/>
          <w:szCs w:val="32"/>
        </w:rPr>
        <w:t>.社会保障和就业（类）行政事业单位</w:t>
      </w:r>
      <w:r>
        <w:rPr>
          <w:rFonts w:hint="eastAsia" w:ascii="仿宋_GB2312" w:hAnsi="仿宋" w:eastAsia="仿宋_GB2312"/>
          <w:color w:val="000000"/>
          <w:sz w:val="32"/>
          <w:szCs w:val="32"/>
          <w:lang w:eastAsia="zh-CN"/>
        </w:rPr>
        <w:t>养老支出</w:t>
      </w:r>
      <w:r>
        <w:rPr>
          <w:rFonts w:hint="eastAsia" w:ascii="仿宋_GB2312" w:hAnsi="仿宋" w:eastAsia="仿宋_GB2312"/>
          <w:color w:val="000000"/>
          <w:sz w:val="32"/>
          <w:szCs w:val="32"/>
        </w:rPr>
        <w:t>（款）机关事业单位职业年金缴费支出（项）:</w:t>
      </w:r>
      <w:r>
        <w:rPr>
          <w:rFonts w:hint="eastAsia" w:ascii="仿宋_GB2312" w:eastAsia="仿宋_GB2312" w:cs="仿宋"/>
          <w:color w:val="000000"/>
          <w:kern w:val="0"/>
          <w:sz w:val="32"/>
          <w:szCs w:val="32"/>
          <w:lang w:val="en-US" w:bidi="ar-SA"/>
        </w:rPr>
        <w:t>反映机关事业单位实施养老保险制度由单位实际缴纳的职业年金支出</w:t>
      </w:r>
      <w:r>
        <w:rPr>
          <w:rStyle w:val="16"/>
          <w:rFonts w:hint="eastAsia" w:ascii="仿宋" w:hAnsi="仿宋" w:eastAsia="仿宋"/>
          <w:b w:val="0"/>
          <w:bCs/>
          <w:color w:val="000000"/>
          <w:sz w:val="32"/>
          <w:szCs w:val="32"/>
        </w:rPr>
        <w:t>。</w:t>
      </w:r>
    </w:p>
    <w:p>
      <w:pPr>
        <w:spacing w:line="60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1</w:t>
      </w:r>
      <w:r>
        <w:rPr>
          <w:rFonts w:hint="eastAsia" w:ascii="仿宋_GB2312" w:hAnsi="仿宋" w:eastAsia="仿宋_GB2312"/>
          <w:color w:val="000000"/>
          <w:sz w:val="32"/>
          <w:szCs w:val="32"/>
          <w:lang w:val="en-US" w:eastAsia="zh-CN"/>
        </w:rPr>
        <w:t>4</w:t>
      </w:r>
      <w:r>
        <w:rPr>
          <w:rFonts w:hint="eastAsia" w:ascii="仿宋_GB2312" w:hAnsi="仿宋" w:eastAsia="仿宋_GB2312"/>
          <w:color w:val="000000"/>
          <w:sz w:val="32"/>
          <w:szCs w:val="32"/>
        </w:rPr>
        <w:t>.</w:t>
      </w:r>
      <w:r>
        <w:rPr>
          <w:rFonts w:hint="eastAsia" w:ascii="仿宋_GB2312" w:hAnsi="仿宋" w:eastAsia="仿宋_GB2312" w:cs="Times New Roman"/>
          <w:color w:val="000000"/>
          <w:sz w:val="32"/>
          <w:szCs w:val="32"/>
        </w:rPr>
        <w:t>卫生健康（类）行政事业</w:t>
      </w:r>
      <w:r>
        <w:rPr>
          <w:rFonts w:hint="eastAsia" w:ascii="仿宋_GB2312" w:hAnsi="仿宋" w:eastAsia="仿宋_GB2312"/>
          <w:color w:val="000000"/>
          <w:sz w:val="32"/>
          <w:szCs w:val="32"/>
        </w:rPr>
        <w:t>单位医疗（款）事业单位医疗（项）：</w:t>
      </w:r>
      <w:r>
        <w:rPr>
          <w:rFonts w:hint="eastAsia" w:ascii="仿宋_GB2312" w:eastAsia="仿宋_GB2312" w:cs="仿宋"/>
          <w:color w:val="000000"/>
          <w:kern w:val="0"/>
          <w:sz w:val="32"/>
          <w:szCs w:val="32"/>
          <w:lang w:val="en-US" w:bidi="ar-SA"/>
        </w:rPr>
        <w:t>反映财政部门集中安排的事业单位基本医疗保险缴费经费</w:t>
      </w:r>
      <w:r>
        <w:rPr>
          <w:rFonts w:hint="eastAsia" w:ascii="仿宋_GB2312" w:hAnsi="仿宋" w:eastAsia="仿宋_GB2312"/>
          <w:color w:val="000000"/>
          <w:sz w:val="32"/>
          <w:szCs w:val="32"/>
        </w:rPr>
        <w:t>。</w:t>
      </w:r>
    </w:p>
    <w:p>
      <w:pPr>
        <w:spacing w:line="600" w:lineRule="exact"/>
        <w:ind w:firstLine="640" w:firstLineChars="200"/>
      </w:pPr>
      <w:r>
        <w:rPr>
          <w:rFonts w:hint="eastAsia" w:ascii="仿宋_GB2312" w:hAnsi="仿宋" w:eastAsia="仿宋_GB2312"/>
          <w:color w:val="000000"/>
          <w:sz w:val="32"/>
          <w:szCs w:val="32"/>
          <w:lang w:val="en-US" w:eastAsia="zh-CN"/>
        </w:rPr>
        <w:t>15</w:t>
      </w:r>
      <w:r>
        <w:rPr>
          <w:rFonts w:hint="eastAsia" w:ascii="仿宋_GB2312" w:hAnsi="仿宋" w:eastAsia="仿宋_GB2312"/>
          <w:color w:val="000000"/>
          <w:sz w:val="32"/>
          <w:szCs w:val="32"/>
        </w:rPr>
        <w:t>.卫生</w:t>
      </w:r>
      <w:r>
        <w:rPr>
          <w:rFonts w:ascii="仿宋_GB2312" w:hAnsi="仿宋" w:eastAsia="仿宋_GB2312"/>
          <w:color w:val="000000"/>
          <w:sz w:val="32"/>
          <w:szCs w:val="32"/>
        </w:rPr>
        <w:t>健康</w:t>
      </w:r>
      <w:r>
        <w:rPr>
          <w:rFonts w:hint="eastAsia" w:ascii="仿宋_GB2312" w:hAnsi="仿宋" w:eastAsia="仿宋_GB2312"/>
          <w:color w:val="000000"/>
          <w:sz w:val="32"/>
          <w:szCs w:val="32"/>
        </w:rPr>
        <w:t>（类）行政事业单位医疗（款）公务员医疗补助（项）：</w:t>
      </w:r>
      <w:r>
        <w:rPr>
          <w:rFonts w:hint="eastAsia" w:ascii="仿宋_GB2312" w:eastAsia="仿宋_GB2312" w:cs="仿宋"/>
          <w:color w:val="000000"/>
          <w:kern w:val="0"/>
          <w:sz w:val="32"/>
          <w:szCs w:val="32"/>
          <w:lang w:val="en-US" w:bidi="ar-SA"/>
        </w:rPr>
        <w:t>反映财政部门集中安排的公务员医疗补助经费</w:t>
      </w:r>
      <w:r>
        <w:rPr>
          <w:rFonts w:hint="eastAsia" w:ascii="仿宋_GB2312" w:hAnsi="仿宋" w:eastAsia="仿宋_GB2312"/>
          <w:color w:val="000000"/>
          <w:sz w:val="32"/>
          <w:szCs w:val="32"/>
        </w:rPr>
        <w:t>。</w:t>
      </w:r>
    </w:p>
    <w:p>
      <w:pPr>
        <w:pStyle w:val="13"/>
        <w:ind w:left="0" w:leftChars="0" w:firstLine="640" w:firstLineChars="200"/>
        <w:rPr>
          <w:rFonts w:ascii="仿宋" w:hAnsi="仿宋" w:eastAsia="仿宋"/>
          <w:b/>
          <w:color w:val="000000"/>
          <w:sz w:val="32"/>
          <w:szCs w:val="32"/>
        </w:rPr>
      </w:pPr>
      <w:r>
        <w:rPr>
          <w:rFonts w:hint="eastAsia" w:ascii="仿宋_GB2312" w:hAnsi="仿宋" w:eastAsia="仿宋_GB2312"/>
          <w:color w:val="000000"/>
          <w:sz w:val="32"/>
          <w:szCs w:val="32"/>
          <w:lang w:val="en-US" w:eastAsia="zh-CN"/>
        </w:rPr>
        <w:t>16</w:t>
      </w:r>
      <w:r>
        <w:rPr>
          <w:rFonts w:hint="eastAsia" w:ascii="仿宋_GB2312" w:hAnsi="仿宋" w:eastAsia="仿宋_GB2312"/>
          <w:color w:val="000000"/>
          <w:sz w:val="32"/>
          <w:szCs w:val="32"/>
        </w:rPr>
        <w:t>.住房保障（类）住房改革支出（款）住房公积金（项）：</w:t>
      </w:r>
      <w:r>
        <w:rPr>
          <w:rFonts w:hint="eastAsia" w:ascii="仿宋_GB2312" w:hAnsi="仿宋" w:eastAsia="仿宋_GB2312"/>
          <w:color w:val="000000"/>
          <w:sz w:val="32"/>
          <w:szCs w:val="32"/>
          <w:lang w:eastAsia="zh-CN"/>
        </w:rPr>
        <w:t>反映行政事业单位按人力资源和社会保障部、财政部规定的基本工资和津贴补贴以及规定比例为职工缴纳的住房公积金</w:t>
      </w:r>
      <w:r>
        <w:rPr>
          <w:rFonts w:hint="eastAsia" w:ascii="仿宋_GB2312" w:hAnsi="仿宋" w:eastAsia="仿宋_GB2312" w:cs="Times New Roman"/>
          <w:color w:val="000000"/>
          <w:sz w:val="32"/>
          <w:szCs w:val="32"/>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w:t>
      </w:r>
      <w:r>
        <w:rPr>
          <w:rFonts w:ascii="仿宋_GB2312" w:eastAsia="仿宋_GB2312"/>
          <w:color w:val="auto"/>
          <w:sz w:val="32"/>
          <w:szCs w:val="32"/>
          <w:highlight w:val="none"/>
        </w:rPr>
        <w:t>7.</w:t>
      </w:r>
      <w:r>
        <w:rPr>
          <w:rFonts w:hint="eastAsia" w:ascii="仿宋_GB2312" w:eastAsia="仿宋_GB2312"/>
          <w:color w:val="auto"/>
          <w:sz w:val="32"/>
          <w:szCs w:val="32"/>
          <w:highlight w:val="none"/>
        </w:rPr>
        <w:t>基本支出：指为保障机构正常运转、完成日常工作任务而发生的人员支出和公用支出。</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1</w:t>
      </w:r>
      <w:r>
        <w:rPr>
          <w:rFonts w:ascii="仿宋_GB2312" w:eastAsia="仿宋_GB2312"/>
          <w:color w:val="auto"/>
          <w:sz w:val="32"/>
          <w:szCs w:val="32"/>
          <w:highlight w:val="none"/>
        </w:rPr>
        <w:t>8.</w:t>
      </w:r>
      <w:r>
        <w:rPr>
          <w:rFonts w:hint="eastAsia" w:ascii="仿宋_GB2312" w:eastAsia="仿宋_GB2312"/>
          <w:color w:val="auto"/>
          <w:sz w:val="32"/>
          <w:szCs w:val="32"/>
          <w:highlight w:val="none"/>
        </w:rPr>
        <w:t>“三公”经费：指</w:t>
      </w:r>
      <w:r>
        <w:rPr>
          <w:rFonts w:hint="eastAsia" w:ascii="仿宋_GB2312" w:eastAsia="仿宋_GB2312"/>
          <w:color w:val="auto"/>
          <w:sz w:val="32"/>
          <w:szCs w:val="32"/>
          <w:highlight w:val="none"/>
          <w:lang w:eastAsia="zh-CN"/>
        </w:rPr>
        <w:t>单位</w:t>
      </w:r>
      <w:r>
        <w:rPr>
          <w:rFonts w:hint="eastAsia" w:ascii="仿宋_GB2312" w:eastAsia="仿宋_GB2312"/>
          <w:color w:val="auto"/>
          <w:sz w:val="32"/>
          <w:szCs w:val="32"/>
          <w:highlight w:val="none"/>
        </w:rPr>
        <w:t>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jc w:val="center"/>
        <w:outlineLvl w:val="0"/>
        <w:rPr>
          <w:rStyle w:val="26"/>
          <w:rFonts w:ascii="黑体" w:hAnsi="黑体" w:eastAsia="黑体"/>
          <w:b w:val="0"/>
          <w:color w:val="auto"/>
          <w:highlight w:val="none"/>
        </w:rPr>
      </w:pPr>
      <w:bookmarkStart w:id="80" w:name="_Toc15377226"/>
      <w:r>
        <w:rPr>
          <w:rFonts w:ascii="宋体"/>
          <w:b/>
          <w:color w:val="auto"/>
          <w:sz w:val="44"/>
          <w:szCs w:val="44"/>
          <w:highlight w:val="none"/>
        </w:rPr>
        <w:br w:type="page"/>
      </w:r>
      <w:bookmarkStart w:id="81" w:name="_Toc14966"/>
      <w:bookmarkStart w:id="82" w:name="_Toc15396614"/>
      <w:r>
        <w:rPr>
          <w:rFonts w:hint="eastAsia" w:ascii="黑体" w:hAnsi="黑体" w:eastAsia="黑体"/>
          <w:color w:val="auto"/>
          <w:sz w:val="44"/>
          <w:szCs w:val="44"/>
          <w:highlight w:val="none"/>
        </w:rPr>
        <w:t>第</w:t>
      </w:r>
      <w:r>
        <w:rPr>
          <w:rStyle w:val="26"/>
          <w:rFonts w:hint="eastAsia" w:ascii="黑体" w:hAnsi="黑体" w:eastAsia="黑体"/>
          <w:b w:val="0"/>
          <w:color w:val="auto"/>
          <w:highlight w:val="none"/>
        </w:rPr>
        <w:t>四部分 附件</w:t>
      </w:r>
      <w:bookmarkEnd w:id="81"/>
      <w:bookmarkEnd w:id="82"/>
    </w:p>
    <w:p>
      <w:pPr>
        <w:keepNext w:val="0"/>
        <w:keepLines w:val="0"/>
        <w:pageBreakBefore w:val="0"/>
        <w:kinsoku/>
        <w:wordWrap/>
        <w:overflowPunct/>
        <w:topLinePunct w:val="0"/>
        <w:autoSpaceDE/>
        <w:autoSpaceDN/>
        <w:bidi w:val="0"/>
        <w:spacing w:line="572" w:lineRule="exact"/>
        <w:jc w:val="left"/>
        <w:textAlignment w:val="auto"/>
        <w:outlineLvl w:val="0"/>
        <w:rPr>
          <w:rFonts w:ascii="仿宋_GB2312" w:hAnsi="仿宋_GB2312" w:eastAsia="仿宋_GB2312" w:cs="仿宋_GB2312"/>
          <w:color w:val="auto"/>
          <w:sz w:val="32"/>
          <w:szCs w:val="32"/>
          <w:highlight w:val="none"/>
        </w:rPr>
      </w:pPr>
    </w:p>
    <w:p>
      <w:pPr>
        <w:spacing w:line="600" w:lineRule="exact"/>
        <w:jc w:val="center"/>
        <w:outlineLvl w:val="0"/>
        <w:rPr>
          <w:rFonts w:hint="eastAsia" w:ascii="宋体" w:hAnsi="宋体" w:eastAsia="宋体" w:cs="宋体"/>
          <w:color w:val="auto"/>
          <w:kern w:val="0"/>
          <w:sz w:val="32"/>
          <w:szCs w:val="32"/>
          <w:highlight w:val="none"/>
          <w:lang w:val="en-US" w:eastAsia="zh-CN" w:bidi="ar-SA"/>
        </w:rPr>
      </w:pPr>
      <w:bookmarkStart w:id="83" w:name="_Toc17027"/>
      <w:bookmarkStart w:id="84" w:name="_Toc15396618"/>
      <w:r>
        <w:rPr>
          <w:rFonts w:hint="eastAsia" w:ascii="宋体" w:hAnsi="宋体" w:cs="宋体"/>
          <w:color w:val="auto"/>
          <w:kern w:val="0"/>
          <w:sz w:val="32"/>
          <w:szCs w:val="32"/>
          <w:highlight w:val="none"/>
          <w:lang w:val="en-US" w:eastAsia="zh-CN" w:bidi="ar-SA"/>
        </w:rPr>
        <w:t>内江市科技服务中心</w:t>
      </w:r>
      <w:r>
        <w:rPr>
          <w:rFonts w:hint="eastAsia" w:ascii="宋体" w:hAnsi="宋体" w:eastAsia="宋体" w:cs="宋体"/>
          <w:color w:val="auto"/>
          <w:kern w:val="0"/>
          <w:sz w:val="32"/>
          <w:szCs w:val="32"/>
          <w:highlight w:val="none"/>
          <w:lang w:val="en-US" w:eastAsia="zh-CN" w:bidi="ar-SA"/>
        </w:rPr>
        <w:t>预算项目支出绩效自评表（2022年度）</w:t>
      </w:r>
      <w:bookmarkEnd w:id="83"/>
    </w:p>
    <w:p>
      <w:pPr>
        <w:spacing w:line="600" w:lineRule="exact"/>
        <w:jc w:val="left"/>
        <w:outlineLvl w:val="0"/>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pStyle w:val="2"/>
        <w:rPr>
          <w:rFonts w:hint="eastAsia" w:ascii="仿宋_GB2312" w:hAnsi="Calibri" w:eastAsia="仿宋_GB2312" w:cs="仿宋"/>
          <w:color w:val="auto"/>
          <w:kern w:val="0"/>
          <w:sz w:val="32"/>
          <w:szCs w:val="32"/>
          <w:highlight w:val="none"/>
          <w:lang w:val="en-US" w:eastAsia="zh-CN" w:bidi="ar-SA"/>
        </w:rPr>
      </w:pPr>
    </w:p>
    <w:p>
      <w:pPr>
        <w:rPr>
          <w:rFonts w:hint="eastAsia" w:ascii="仿宋_GB2312" w:hAnsi="Calibri" w:eastAsia="仿宋_GB2312" w:cs="仿宋"/>
          <w:color w:val="auto"/>
          <w:kern w:val="0"/>
          <w:sz w:val="32"/>
          <w:szCs w:val="32"/>
          <w:highlight w:val="none"/>
          <w:lang w:val="en-US" w:eastAsia="zh-CN" w:bidi="ar-SA"/>
        </w:rPr>
      </w:pPr>
      <w:r>
        <w:rPr>
          <w:rFonts w:hint="eastAsia" w:ascii="仿宋_GB2312" w:hAnsi="Calibri" w:eastAsia="仿宋_GB2312" w:cs="仿宋"/>
          <w:color w:val="auto"/>
          <w:kern w:val="0"/>
          <w:sz w:val="32"/>
          <w:szCs w:val="32"/>
          <w:highlight w:val="none"/>
          <w:lang w:val="en-US" w:eastAsia="zh-CN" w:bidi="ar-SA"/>
        </w:rPr>
        <w:br w:type="page"/>
      </w:r>
    </w:p>
    <w:p>
      <w:pPr>
        <w:pStyle w:val="2"/>
        <w:rPr>
          <w:rFonts w:hint="default" w:ascii="仿宋_GB2312" w:hAnsi="Calibri" w:eastAsia="仿宋_GB2312" w:cs="仿宋"/>
          <w:color w:val="auto"/>
          <w:kern w:val="0"/>
          <w:sz w:val="32"/>
          <w:szCs w:val="32"/>
          <w:highlight w:val="none"/>
          <w:lang w:val="en-US" w:eastAsia="zh-CN" w:bidi="ar-SA"/>
        </w:rPr>
      </w:pPr>
    </w:p>
    <w:p>
      <w:pPr>
        <w:spacing w:line="600" w:lineRule="exact"/>
        <w:jc w:val="center"/>
        <w:outlineLvl w:val="0"/>
        <w:rPr>
          <w:rFonts w:hint="eastAsia" w:ascii="仿宋" w:hAnsi="仿宋" w:eastAsia="仿宋"/>
          <w:b w:val="0"/>
          <w:color w:val="auto"/>
          <w:highlight w:val="none"/>
        </w:rPr>
      </w:pPr>
      <w:bookmarkStart w:id="85" w:name="_Toc2503"/>
      <w:r>
        <w:rPr>
          <w:rFonts w:hint="eastAsia" w:ascii="黑体" w:hAnsi="黑体" w:eastAsia="黑体"/>
          <w:color w:val="auto"/>
          <w:sz w:val="44"/>
          <w:szCs w:val="44"/>
          <w:highlight w:val="none"/>
        </w:rPr>
        <w:t>第</w:t>
      </w:r>
      <w:r>
        <w:rPr>
          <w:rStyle w:val="26"/>
          <w:rFonts w:hint="eastAsia" w:ascii="黑体" w:hAnsi="黑体" w:eastAsia="黑体"/>
          <w:b w:val="0"/>
          <w:color w:val="auto"/>
          <w:highlight w:val="none"/>
        </w:rPr>
        <w:t>五部分 附表</w:t>
      </w:r>
      <w:bookmarkEnd w:id="80"/>
      <w:bookmarkEnd w:id="84"/>
      <w:bookmarkEnd w:id="85"/>
      <w:bookmarkStart w:id="86" w:name="_Toc15396619"/>
    </w:p>
    <w:p>
      <w:pPr>
        <w:pStyle w:val="4"/>
        <w:rPr>
          <w:rFonts w:ascii="仿宋" w:hAnsi="仿宋" w:eastAsia="仿宋"/>
          <w:color w:val="auto"/>
          <w:highlight w:val="none"/>
        </w:rPr>
      </w:pPr>
      <w:bookmarkStart w:id="87" w:name="_Toc16293"/>
      <w:r>
        <w:rPr>
          <w:rFonts w:hint="eastAsia" w:ascii="仿宋" w:hAnsi="仿宋" w:eastAsia="仿宋"/>
          <w:b w:val="0"/>
          <w:color w:val="auto"/>
          <w:highlight w:val="none"/>
        </w:rPr>
        <w:t>一、收</w:t>
      </w:r>
      <w:r>
        <w:rPr>
          <w:rStyle w:val="27"/>
          <w:rFonts w:hint="eastAsia" w:ascii="仿宋" w:hAnsi="仿宋" w:eastAsia="仿宋"/>
          <w:b w:val="0"/>
          <w:bCs w:val="0"/>
          <w:color w:val="auto"/>
          <w:highlight w:val="none"/>
        </w:rPr>
        <w:t>入支出决算总表</w:t>
      </w:r>
      <w:bookmarkEnd w:id="86"/>
      <w:bookmarkEnd w:id="87"/>
    </w:p>
    <w:p>
      <w:pPr>
        <w:pStyle w:val="4"/>
        <w:rPr>
          <w:rFonts w:ascii="仿宋" w:hAnsi="仿宋" w:eastAsia="仿宋"/>
          <w:color w:val="auto"/>
          <w:highlight w:val="none"/>
        </w:rPr>
      </w:pPr>
      <w:bookmarkStart w:id="88" w:name="_Toc15396620"/>
      <w:bookmarkStart w:id="89" w:name="_Toc5802"/>
      <w:r>
        <w:rPr>
          <w:rFonts w:hint="eastAsia" w:ascii="仿宋" w:hAnsi="仿宋" w:eastAsia="仿宋"/>
          <w:b w:val="0"/>
          <w:color w:val="auto"/>
          <w:highlight w:val="none"/>
        </w:rPr>
        <w:t>二、收</w:t>
      </w:r>
      <w:r>
        <w:rPr>
          <w:rStyle w:val="27"/>
          <w:rFonts w:hint="eastAsia" w:ascii="仿宋" w:hAnsi="仿宋" w:eastAsia="仿宋"/>
          <w:b w:val="0"/>
          <w:bCs w:val="0"/>
          <w:color w:val="auto"/>
          <w:highlight w:val="none"/>
        </w:rPr>
        <w:t>入决算表</w:t>
      </w:r>
      <w:bookmarkEnd w:id="88"/>
      <w:bookmarkEnd w:id="89"/>
    </w:p>
    <w:p>
      <w:pPr>
        <w:pStyle w:val="4"/>
        <w:rPr>
          <w:rFonts w:ascii="仿宋" w:hAnsi="仿宋" w:eastAsia="仿宋"/>
          <w:color w:val="auto"/>
          <w:highlight w:val="none"/>
        </w:rPr>
      </w:pPr>
      <w:bookmarkStart w:id="90" w:name="_Toc15396621"/>
      <w:bookmarkStart w:id="91" w:name="_Toc23534"/>
      <w:r>
        <w:rPr>
          <w:rStyle w:val="27"/>
          <w:rFonts w:hint="eastAsia" w:ascii="仿宋" w:hAnsi="仿宋" w:eastAsia="仿宋"/>
          <w:b w:val="0"/>
          <w:bCs w:val="0"/>
          <w:color w:val="auto"/>
          <w:highlight w:val="none"/>
        </w:rPr>
        <w:t>三、</w:t>
      </w:r>
      <w:r>
        <w:rPr>
          <w:rFonts w:hint="eastAsia" w:ascii="仿宋" w:hAnsi="仿宋" w:eastAsia="仿宋"/>
          <w:b w:val="0"/>
          <w:color w:val="auto"/>
          <w:highlight w:val="none"/>
        </w:rPr>
        <w:t>支</w:t>
      </w:r>
      <w:r>
        <w:rPr>
          <w:rStyle w:val="27"/>
          <w:rFonts w:hint="eastAsia" w:ascii="仿宋" w:hAnsi="仿宋" w:eastAsia="仿宋"/>
          <w:b w:val="0"/>
          <w:bCs w:val="0"/>
          <w:color w:val="auto"/>
          <w:highlight w:val="none"/>
        </w:rPr>
        <w:t>出决算表</w:t>
      </w:r>
      <w:bookmarkEnd w:id="90"/>
      <w:bookmarkEnd w:id="91"/>
    </w:p>
    <w:p>
      <w:pPr>
        <w:pStyle w:val="4"/>
        <w:rPr>
          <w:rFonts w:ascii="仿宋" w:hAnsi="仿宋" w:eastAsia="仿宋"/>
          <w:b w:val="0"/>
          <w:color w:val="auto"/>
          <w:highlight w:val="none"/>
        </w:rPr>
      </w:pPr>
      <w:bookmarkStart w:id="92" w:name="_Toc15396622"/>
      <w:bookmarkStart w:id="93" w:name="_Toc20636"/>
      <w:r>
        <w:rPr>
          <w:rStyle w:val="27"/>
          <w:rFonts w:hint="eastAsia" w:ascii="仿宋" w:hAnsi="仿宋" w:eastAsia="仿宋"/>
          <w:b w:val="0"/>
          <w:bCs w:val="0"/>
          <w:color w:val="auto"/>
          <w:highlight w:val="none"/>
        </w:rPr>
        <w:t>四、</w:t>
      </w:r>
      <w:r>
        <w:rPr>
          <w:rFonts w:hint="eastAsia" w:ascii="仿宋" w:hAnsi="仿宋" w:eastAsia="仿宋"/>
          <w:b w:val="0"/>
          <w:color w:val="auto"/>
          <w:highlight w:val="none"/>
        </w:rPr>
        <w:t>财</w:t>
      </w:r>
      <w:r>
        <w:rPr>
          <w:rStyle w:val="27"/>
          <w:rFonts w:hint="eastAsia" w:ascii="仿宋" w:hAnsi="仿宋" w:eastAsia="仿宋"/>
          <w:b w:val="0"/>
          <w:bCs w:val="0"/>
          <w:color w:val="auto"/>
          <w:highlight w:val="none"/>
        </w:rPr>
        <w:t>政拨款收入支出决算总表</w:t>
      </w:r>
      <w:bookmarkEnd w:id="92"/>
      <w:bookmarkEnd w:id="93"/>
    </w:p>
    <w:p>
      <w:pPr>
        <w:pStyle w:val="4"/>
        <w:rPr>
          <w:rStyle w:val="27"/>
          <w:rFonts w:ascii="仿宋" w:hAnsi="仿宋" w:eastAsia="仿宋"/>
          <w:b w:val="0"/>
          <w:bCs w:val="0"/>
          <w:color w:val="auto"/>
          <w:highlight w:val="none"/>
        </w:rPr>
      </w:pPr>
      <w:bookmarkStart w:id="94" w:name="_Toc15396623"/>
      <w:bookmarkStart w:id="95" w:name="_Toc31443"/>
      <w:r>
        <w:rPr>
          <w:rStyle w:val="27"/>
          <w:rFonts w:hint="eastAsia" w:ascii="仿宋" w:hAnsi="仿宋" w:eastAsia="仿宋"/>
          <w:b w:val="0"/>
          <w:bCs w:val="0"/>
          <w:color w:val="auto"/>
          <w:highlight w:val="none"/>
        </w:rPr>
        <w:t>五、</w:t>
      </w:r>
      <w:r>
        <w:rPr>
          <w:rFonts w:hint="eastAsia" w:ascii="仿宋" w:hAnsi="仿宋" w:eastAsia="仿宋"/>
          <w:b w:val="0"/>
          <w:color w:val="auto"/>
          <w:highlight w:val="none"/>
        </w:rPr>
        <w:t>财</w:t>
      </w:r>
      <w:r>
        <w:rPr>
          <w:rStyle w:val="27"/>
          <w:rFonts w:hint="eastAsia" w:ascii="仿宋" w:hAnsi="仿宋" w:eastAsia="仿宋"/>
          <w:b w:val="0"/>
          <w:bCs w:val="0"/>
          <w:color w:val="auto"/>
          <w:highlight w:val="none"/>
        </w:rPr>
        <w:t>政拨款支出决算明细表</w:t>
      </w:r>
      <w:bookmarkEnd w:id="94"/>
      <w:bookmarkEnd w:id="95"/>
      <w:bookmarkStart w:id="96" w:name="_Toc15396624"/>
    </w:p>
    <w:p>
      <w:pPr>
        <w:pStyle w:val="4"/>
        <w:rPr>
          <w:rFonts w:ascii="仿宋" w:hAnsi="仿宋" w:eastAsia="仿宋"/>
          <w:color w:val="auto"/>
          <w:highlight w:val="none"/>
        </w:rPr>
      </w:pPr>
      <w:bookmarkStart w:id="97" w:name="_Toc8791"/>
      <w:r>
        <w:rPr>
          <w:rStyle w:val="27"/>
          <w:rFonts w:hint="eastAsia" w:ascii="仿宋" w:hAnsi="仿宋" w:eastAsia="仿宋"/>
          <w:b w:val="0"/>
          <w:bCs w:val="0"/>
          <w:color w:val="auto"/>
          <w:highlight w:val="none"/>
        </w:rPr>
        <w:t>六、</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般公共预算财政拨款支出决算表</w:t>
      </w:r>
      <w:bookmarkEnd w:id="96"/>
      <w:bookmarkEnd w:id="97"/>
    </w:p>
    <w:p>
      <w:pPr>
        <w:pStyle w:val="4"/>
        <w:rPr>
          <w:rFonts w:ascii="仿宋" w:hAnsi="仿宋" w:eastAsia="仿宋"/>
          <w:color w:val="auto"/>
          <w:highlight w:val="none"/>
        </w:rPr>
      </w:pPr>
      <w:bookmarkStart w:id="98" w:name="_Toc15396625"/>
      <w:bookmarkStart w:id="99" w:name="_Toc15494"/>
      <w:r>
        <w:rPr>
          <w:rStyle w:val="27"/>
          <w:rFonts w:hint="eastAsia" w:ascii="仿宋" w:hAnsi="仿宋" w:eastAsia="仿宋"/>
          <w:b w:val="0"/>
          <w:bCs w:val="0"/>
          <w:color w:val="auto"/>
          <w:highlight w:val="none"/>
        </w:rPr>
        <w:t>七、</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般公共预算财政拨款支出决算明细表</w:t>
      </w:r>
      <w:bookmarkEnd w:id="98"/>
      <w:bookmarkEnd w:id="99"/>
    </w:p>
    <w:p>
      <w:pPr>
        <w:pStyle w:val="4"/>
        <w:rPr>
          <w:rFonts w:ascii="仿宋" w:hAnsi="仿宋" w:eastAsia="仿宋"/>
          <w:color w:val="auto"/>
          <w:highlight w:val="none"/>
        </w:rPr>
      </w:pPr>
      <w:bookmarkStart w:id="100" w:name="_Toc15396626"/>
      <w:bookmarkStart w:id="101" w:name="_Toc29239"/>
      <w:r>
        <w:rPr>
          <w:rStyle w:val="27"/>
          <w:rFonts w:hint="eastAsia" w:ascii="仿宋" w:hAnsi="仿宋" w:eastAsia="仿宋"/>
          <w:b w:val="0"/>
          <w:bCs w:val="0"/>
          <w:color w:val="auto"/>
          <w:highlight w:val="none"/>
        </w:rPr>
        <w:t>八、</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般公共预算财政拨款基本支出决算表</w:t>
      </w:r>
      <w:bookmarkEnd w:id="100"/>
      <w:bookmarkEnd w:id="101"/>
    </w:p>
    <w:p>
      <w:pPr>
        <w:pStyle w:val="4"/>
        <w:rPr>
          <w:rFonts w:ascii="仿宋" w:hAnsi="仿宋" w:eastAsia="仿宋"/>
          <w:color w:val="auto"/>
          <w:highlight w:val="none"/>
        </w:rPr>
      </w:pPr>
      <w:bookmarkStart w:id="102" w:name="_Toc24853"/>
      <w:bookmarkStart w:id="103" w:name="_Toc15396627"/>
      <w:r>
        <w:rPr>
          <w:rStyle w:val="27"/>
          <w:rFonts w:hint="eastAsia" w:ascii="仿宋" w:hAnsi="仿宋" w:eastAsia="仿宋"/>
          <w:b w:val="0"/>
          <w:bCs w:val="0"/>
          <w:color w:val="auto"/>
          <w:highlight w:val="none"/>
        </w:rPr>
        <w:t>九、</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般公共预算财政拨款项目支出决算表</w:t>
      </w:r>
      <w:bookmarkEnd w:id="102"/>
      <w:bookmarkEnd w:id="103"/>
    </w:p>
    <w:p>
      <w:pPr>
        <w:pStyle w:val="4"/>
        <w:rPr>
          <w:rFonts w:ascii="仿宋" w:hAnsi="仿宋" w:eastAsia="仿宋"/>
          <w:color w:val="auto"/>
          <w:highlight w:val="none"/>
        </w:rPr>
      </w:pPr>
      <w:bookmarkStart w:id="104" w:name="_Toc15396628"/>
      <w:bookmarkStart w:id="105" w:name="_Toc20120"/>
      <w:r>
        <w:rPr>
          <w:rStyle w:val="27"/>
          <w:rFonts w:hint="eastAsia" w:ascii="仿宋" w:hAnsi="仿宋" w:eastAsia="仿宋"/>
          <w:b w:val="0"/>
          <w:bCs w:val="0"/>
          <w:color w:val="auto"/>
          <w:highlight w:val="none"/>
        </w:rPr>
        <w:t>十、</w:t>
      </w:r>
      <w:bookmarkEnd w:id="104"/>
      <w:r>
        <w:rPr>
          <w:rFonts w:hint="eastAsia" w:ascii="仿宋" w:hAnsi="仿宋" w:eastAsia="仿宋"/>
          <w:b w:val="0"/>
          <w:color w:val="auto"/>
          <w:highlight w:val="none"/>
        </w:rPr>
        <w:t>政</w:t>
      </w:r>
      <w:r>
        <w:rPr>
          <w:rStyle w:val="27"/>
          <w:rFonts w:hint="eastAsia" w:ascii="仿宋" w:hAnsi="仿宋" w:eastAsia="仿宋"/>
          <w:b w:val="0"/>
          <w:bCs w:val="0"/>
          <w:color w:val="auto"/>
          <w:highlight w:val="none"/>
        </w:rPr>
        <w:t>府性基金预算财政拨款收入支出决算表</w:t>
      </w:r>
      <w:bookmarkEnd w:id="105"/>
    </w:p>
    <w:p>
      <w:pPr>
        <w:pStyle w:val="4"/>
        <w:rPr>
          <w:rFonts w:ascii="仿宋" w:hAnsi="仿宋" w:eastAsia="仿宋"/>
          <w:color w:val="auto"/>
          <w:highlight w:val="none"/>
        </w:rPr>
      </w:pPr>
      <w:bookmarkStart w:id="106" w:name="_Toc15396629"/>
      <w:bookmarkStart w:id="107" w:name="_Toc23023"/>
      <w:r>
        <w:rPr>
          <w:rStyle w:val="27"/>
          <w:rFonts w:hint="eastAsia" w:ascii="仿宋" w:hAnsi="仿宋" w:eastAsia="仿宋"/>
          <w:b w:val="0"/>
          <w:bCs w:val="0"/>
          <w:color w:val="auto"/>
          <w:highlight w:val="none"/>
        </w:rPr>
        <w:t>十一、</w:t>
      </w:r>
      <w:bookmarkEnd w:id="106"/>
      <w:r>
        <w:rPr>
          <w:rFonts w:hint="eastAsia" w:ascii="仿宋" w:hAnsi="仿宋" w:eastAsia="仿宋"/>
          <w:b w:val="0"/>
          <w:color w:val="auto"/>
          <w:highlight w:val="none"/>
        </w:rPr>
        <w:t>国</w:t>
      </w:r>
      <w:r>
        <w:rPr>
          <w:rStyle w:val="27"/>
          <w:rFonts w:hint="eastAsia" w:ascii="仿宋" w:hAnsi="仿宋" w:eastAsia="仿宋"/>
          <w:b w:val="0"/>
          <w:bCs w:val="0"/>
          <w:color w:val="auto"/>
          <w:highlight w:val="none"/>
        </w:rPr>
        <w:t>有资本经营预算</w:t>
      </w:r>
      <w:r>
        <w:rPr>
          <w:rStyle w:val="27"/>
          <w:rFonts w:hint="eastAsia" w:ascii="仿宋" w:hAnsi="仿宋" w:eastAsia="仿宋"/>
          <w:b w:val="0"/>
          <w:bCs w:val="0"/>
          <w:color w:val="auto"/>
          <w:highlight w:val="none"/>
          <w:lang w:eastAsia="zh-CN"/>
        </w:rPr>
        <w:t>财政拨款收入</w:t>
      </w:r>
      <w:r>
        <w:rPr>
          <w:rStyle w:val="27"/>
          <w:rFonts w:hint="eastAsia" w:ascii="仿宋" w:hAnsi="仿宋" w:eastAsia="仿宋"/>
          <w:b w:val="0"/>
          <w:bCs w:val="0"/>
          <w:color w:val="auto"/>
          <w:highlight w:val="none"/>
        </w:rPr>
        <w:t>支出决算表</w:t>
      </w:r>
      <w:bookmarkEnd w:id="107"/>
    </w:p>
    <w:p>
      <w:pPr>
        <w:pStyle w:val="4"/>
        <w:rPr>
          <w:rFonts w:ascii="仿宋" w:hAnsi="仿宋" w:eastAsia="仿宋"/>
          <w:color w:val="auto"/>
          <w:highlight w:val="none"/>
        </w:rPr>
      </w:pPr>
      <w:bookmarkStart w:id="108" w:name="_Toc15396630"/>
      <w:bookmarkStart w:id="109" w:name="_Toc30139"/>
      <w:r>
        <w:rPr>
          <w:rStyle w:val="27"/>
          <w:rFonts w:hint="eastAsia" w:ascii="仿宋" w:hAnsi="仿宋" w:eastAsia="仿宋"/>
          <w:b w:val="0"/>
          <w:bCs w:val="0"/>
          <w:color w:val="auto"/>
          <w:highlight w:val="none"/>
        </w:rPr>
        <w:t>十二、</w:t>
      </w:r>
      <w:bookmarkEnd w:id="108"/>
      <w:r>
        <w:rPr>
          <w:rStyle w:val="27"/>
          <w:rFonts w:hint="eastAsia" w:ascii="仿宋" w:hAnsi="仿宋" w:eastAsia="仿宋"/>
          <w:b w:val="0"/>
          <w:bCs w:val="0"/>
          <w:color w:val="auto"/>
          <w:highlight w:val="none"/>
          <w:lang w:eastAsia="zh-CN"/>
        </w:rPr>
        <w:t>国有资本经营预算财政拨款支出决算表</w:t>
      </w:r>
      <w:bookmarkEnd w:id="109"/>
    </w:p>
    <w:p>
      <w:pPr>
        <w:pStyle w:val="4"/>
        <w:rPr>
          <w:rFonts w:hint="eastAsia" w:eastAsia="仿宋"/>
          <w:color w:val="auto"/>
          <w:highlight w:val="none"/>
          <w:lang w:eastAsia="zh-CN"/>
        </w:rPr>
      </w:pPr>
      <w:bookmarkStart w:id="110" w:name="_Toc15396631"/>
      <w:bookmarkStart w:id="111" w:name="_Toc31891"/>
      <w:r>
        <w:rPr>
          <w:rStyle w:val="27"/>
          <w:rFonts w:hint="eastAsia" w:ascii="仿宋" w:hAnsi="仿宋" w:eastAsia="仿宋"/>
          <w:b w:val="0"/>
          <w:bCs w:val="0"/>
          <w:color w:val="auto"/>
          <w:highlight w:val="none"/>
        </w:rPr>
        <w:t>十三、</w:t>
      </w:r>
      <w:bookmarkEnd w:id="110"/>
      <w:r>
        <w:rPr>
          <w:rStyle w:val="27"/>
          <w:rFonts w:hint="eastAsia" w:ascii="仿宋" w:hAnsi="仿宋" w:eastAsia="仿宋"/>
          <w:b w:val="0"/>
          <w:bCs w:val="0"/>
          <w:color w:val="auto"/>
          <w:highlight w:val="none"/>
          <w:lang w:eastAsia="zh-CN"/>
        </w:rPr>
        <w:t>财政拨款“三公”经费支出决算表</w:t>
      </w:r>
      <w:bookmarkEnd w:id="111"/>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9"/>
          <w:jc w:val="center"/>
        </w:pPr>
        <w:r>
          <w:fldChar w:fldCharType="begin"/>
        </w:r>
        <w:r>
          <w:instrText xml:space="preserve">PAGE   \* MERGEFORMAT</w:instrText>
        </w:r>
        <w:r>
          <w:fldChar w:fldCharType="separate"/>
        </w:r>
        <w:r>
          <w:rPr>
            <w:lang w:val="zh-CN"/>
          </w:rPr>
          <w:t>8</w:t>
        </w:r>
        <w:r>
          <w:fldChar w:fldCharType="end"/>
        </w:r>
      </w:p>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C7E1C7"/>
    <w:multiLevelType w:val="singleLevel"/>
    <w:tmpl w:val="B4C7E1C7"/>
    <w:lvl w:ilvl="0" w:tentative="0">
      <w:start w:val="1"/>
      <w:numFmt w:val="decimal"/>
      <w:lvlText w:val="%1."/>
      <w:lvlJc w:val="left"/>
      <w:pPr>
        <w:tabs>
          <w:tab w:val="left" w:pos="312"/>
        </w:tabs>
      </w:p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818A09A"/>
    <w:multiLevelType w:val="singleLevel"/>
    <w:tmpl w:val="3818A09A"/>
    <w:lvl w:ilvl="0" w:tentative="0">
      <w:start w:val="1"/>
      <w:numFmt w:val="chineseCounting"/>
      <w:suff w:val="nothing"/>
      <w:lvlText w:val="%1、"/>
      <w:lvlJc w:val="left"/>
      <w:rPr>
        <w:rFonts w:hint="eastAsia"/>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3NDAxZmJlNGQwZjMxN2VjZmNhODVkZmJkZDU4NWE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3796B87"/>
    <w:rsid w:val="03AB2112"/>
    <w:rsid w:val="053A62B5"/>
    <w:rsid w:val="0A2032A3"/>
    <w:rsid w:val="0B8A37D8"/>
    <w:rsid w:val="0B8C5E7D"/>
    <w:rsid w:val="0EA52BA6"/>
    <w:rsid w:val="0EDC43BE"/>
    <w:rsid w:val="10C055FF"/>
    <w:rsid w:val="11342A7B"/>
    <w:rsid w:val="11636936"/>
    <w:rsid w:val="118107EC"/>
    <w:rsid w:val="11DD6519"/>
    <w:rsid w:val="151E48D0"/>
    <w:rsid w:val="16BB723D"/>
    <w:rsid w:val="18015F3F"/>
    <w:rsid w:val="19475CD6"/>
    <w:rsid w:val="1BE8440E"/>
    <w:rsid w:val="1D155CEE"/>
    <w:rsid w:val="1F865547"/>
    <w:rsid w:val="20360407"/>
    <w:rsid w:val="20F57F95"/>
    <w:rsid w:val="240371BF"/>
    <w:rsid w:val="25711CC6"/>
    <w:rsid w:val="25C741E6"/>
    <w:rsid w:val="2761721A"/>
    <w:rsid w:val="27842671"/>
    <w:rsid w:val="29FD04D3"/>
    <w:rsid w:val="2A5904C2"/>
    <w:rsid w:val="2A872151"/>
    <w:rsid w:val="2ABE7A3E"/>
    <w:rsid w:val="2AF17310"/>
    <w:rsid w:val="2BD13981"/>
    <w:rsid w:val="2CA234A8"/>
    <w:rsid w:val="2CA708AD"/>
    <w:rsid w:val="2EFA178C"/>
    <w:rsid w:val="30B46D73"/>
    <w:rsid w:val="30F8273B"/>
    <w:rsid w:val="319F7F4E"/>
    <w:rsid w:val="33BA7222"/>
    <w:rsid w:val="383D272C"/>
    <w:rsid w:val="39AE70AB"/>
    <w:rsid w:val="3B086F20"/>
    <w:rsid w:val="3BC576FC"/>
    <w:rsid w:val="3BCD6466"/>
    <w:rsid w:val="3C0C0783"/>
    <w:rsid w:val="3F9F3A96"/>
    <w:rsid w:val="432F7B84"/>
    <w:rsid w:val="46FF5417"/>
    <w:rsid w:val="48BF60AB"/>
    <w:rsid w:val="493C27E9"/>
    <w:rsid w:val="496F39ED"/>
    <w:rsid w:val="4970223D"/>
    <w:rsid w:val="49FF41D3"/>
    <w:rsid w:val="4BE068DB"/>
    <w:rsid w:val="4BF6002B"/>
    <w:rsid w:val="4ECE2238"/>
    <w:rsid w:val="50F74866"/>
    <w:rsid w:val="51DB4B86"/>
    <w:rsid w:val="55333C3E"/>
    <w:rsid w:val="563C7C68"/>
    <w:rsid w:val="61616D6A"/>
    <w:rsid w:val="63D05111"/>
    <w:rsid w:val="64CA39A1"/>
    <w:rsid w:val="67A522E7"/>
    <w:rsid w:val="685B2FD3"/>
    <w:rsid w:val="69630ADE"/>
    <w:rsid w:val="6C4A05C8"/>
    <w:rsid w:val="6D3B1A89"/>
    <w:rsid w:val="6E2F302F"/>
    <w:rsid w:val="6F2276CB"/>
    <w:rsid w:val="6F3B4DDA"/>
    <w:rsid w:val="710353C7"/>
    <w:rsid w:val="71BD7C3D"/>
    <w:rsid w:val="71BF4EC2"/>
    <w:rsid w:val="72734D90"/>
    <w:rsid w:val="736926B1"/>
    <w:rsid w:val="73F57764"/>
    <w:rsid w:val="7412278C"/>
    <w:rsid w:val="79070C47"/>
    <w:rsid w:val="79E7B28D"/>
    <w:rsid w:val="79F80A27"/>
    <w:rsid w:val="7D873033"/>
    <w:rsid w:val="7F9F20EE"/>
    <w:rsid w:val="9E3A10E2"/>
    <w:rsid w:val="F2E1F9D4"/>
    <w:rsid w:val="F78808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3"/>
    <w:qFormat/>
    <w:uiPriority w:val="99"/>
    <w:pPr>
      <w:spacing w:beforeLines="30"/>
    </w:pPr>
    <w:rPr>
      <w:rFonts w:ascii="仿宋_GB2312" w:eastAsia="仿宋_GB2312"/>
      <w:kern w:val="0"/>
      <w:sz w:val="30"/>
    </w:rPr>
  </w:style>
  <w:style w:type="paragraph" w:styleId="6">
    <w:name w:val="Body Text Indent"/>
    <w:basedOn w:val="1"/>
    <w:qFormat/>
    <w:uiPriority w:val="0"/>
    <w:pPr>
      <w:ind w:firstLine="600" w:firstLineChars="200"/>
    </w:pPr>
    <w:rPr>
      <w:sz w:val="30"/>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29"/>
    <w:semiHidden/>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19"/>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Body Text First Indent 2"/>
    <w:basedOn w:val="6"/>
    <w:qFormat/>
    <w:uiPriority w:val="0"/>
    <w:pPr>
      <w:spacing w:after="120"/>
      <w:ind w:left="420" w:leftChars="200" w:firstLine="420"/>
    </w:pPr>
  </w:style>
  <w:style w:type="character" w:styleId="16">
    <w:name w:val="Strong"/>
    <w:basedOn w:val="15"/>
    <w:qFormat/>
    <w:uiPriority w:val="99"/>
    <w:rPr>
      <w:b/>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customStyle="1" w:styleId="18">
    <w:name w:val="Header Char"/>
    <w:basedOn w:val="15"/>
    <w:semiHidden/>
    <w:qFormat/>
    <w:uiPriority w:val="99"/>
    <w:rPr>
      <w:rFonts w:ascii="Times New Roman" w:hAnsi="Times New Roman"/>
      <w:sz w:val="18"/>
      <w:szCs w:val="18"/>
    </w:rPr>
  </w:style>
  <w:style w:type="character" w:customStyle="1" w:styleId="19">
    <w:name w:val="页眉 Char"/>
    <w:link w:val="10"/>
    <w:semiHidden/>
    <w:qFormat/>
    <w:locked/>
    <w:uiPriority w:val="99"/>
    <w:rPr>
      <w:sz w:val="18"/>
    </w:rPr>
  </w:style>
  <w:style w:type="character" w:customStyle="1" w:styleId="20">
    <w:name w:val="Footer Char"/>
    <w:basedOn w:val="15"/>
    <w:semiHidden/>
    <w:qFormat/>
    <w:uiPriority w:val="99"/>
    <w:rPr>
      <w:rFonts w:ascii="Times New Roman" w:hAnsi="Times New Roman"/>
      <w:sz w:val="18"/>
      <w:szCs w:val="18"/>
    </w:rPr>
  </w:style>
  <w:style w:type="character" w:customStyle="1" w:styleId="21">
    <w:name w:val="页脚 Char"/>
    <w:link w:val="9"/>
    <w:qFormat/>
    <w:locked/>
    <w:uiPriority w:val="99"/>
    <w:rPr>
      <w:sz w:val="18"/>
    </w:rPr>
  </w:style>
  <w:style w:type="character" w:customStyle="1" w:styleId="22">
    <w:name w:val="Body Text Char"/>
    <w:basedOn w:val="15"/>
    <w:semiHidden/>
    <w:qFormat/>
    <w:uiPriority w:val="99"/>
    <w:rPr>
      <w:rFonts w:ascii="Times New Roman" w:hAnsi="Times New Roman"/>
      <w:szCs w:val="24"/>
    </w:rPr>
  </w:style>
  <w:style w:type="character" w:customStyle="1" w:styleId="23">
    <w:name w:val="正文文本 Char"/>
    <w:link w:val="2"/>
    <w:qFormat/>
    <w:locked/>
    <w:uiPriority w:val="99"/>
    <w:rPr>
      <w:rFonts w:ascii="仿宋_GB2312" w:hAnsi="Times New Roman" w:eastAsia="仿宋_GB2312"/>
      <w:sz w:val="24"/>
    </w:rPr>
  </w:style>
  <w:style w:type="paragraph" w:customStyle="1" w:styleId="24">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5">
    <w:name w:val="List Paragraph"/>
    <w:basedOn w:val="1"/>
    <w:qFormat/>
    <w:uiPriority w:val="34"/>
    <w:pPr>
      <w:ind w:firstLine="420" w:firstLineChars="200"/>
    </w:pPr>
  </w:style>
  <w:style w:type="character" w:customStyle="1" w:styleId="26">
    <w:name w:val="标题 1 Char"/>
    <w:basedOn w:val="15"/>
    <w:link w:val="3"/>
    <w:qFormat/>
    <w:uiPriority w:val="9"/>
    <w:rPr>
      <w:rFonts w:ascii="Times New Roman" w:hAnsi="Times New Roman"/>
      <w:b/>
      <w:bCs/>
      <w:kern w:val="44"/>
      <w:sz w:val="44"/>
      <w:szCs w:val="44"/>
    </w:rPr>
  </w:style>
  <w:style w:type="character" w:customStyle="1" w:styleId="27">
    <w:name w:val="标题 2 Char"/>
    <w:basedOn w:val="15"/>
    <w:link w:val="4"/>
    <w:qFormat/>
    <w:uiPriority w:val="9"/>
    <w:rPr>
      <w:rFonts w:asciiTheme="majorHAnsi" w:hAnsiTheme="majorHAnsi" w:eastAsiaTheme="majorEastAsia" w:cstheme="majorBidi"/>
      <w:b/>
      <w:bCs/>
      <w:kern w:val="2"/>
      <w:sz w:val="32"/>
      <w:szCs w:val="32"/>
    </w:rPr>
  </w:style>
  <w:style w:type="paragraph" w:customStyle="1" w:styleId="28">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9">
    <w:name w:val="批注框文本 Char"/>
    <w:basedOn w:val="15"/>
    <w:link w:val="8"/>
    <w:semiHidden/>
    <w:qFormat/>
    <w:uiPriority w:val="99"/>
    <w:rPr>
      <w:rFonts w:ascii="Times New Roman" w:hAnsi="Times New Roman"/>
      <w:kern w:val="2"/>
      <w:sz w:val="18"/>
      <w:szCs w:val="18"/>
    </w:rPr>
  </w:style>
  <w:style w:type="character" w:customStyle="1" w:styleId="30">
    <w:name w:val="标题 3 Char"/>
    <w:basedOn w:val="15"/>
    <w:link w:val="5"/>
    <w:qFormat/>
    <w:uiPriority w:val="9"/>
    <w:rPr>
      <w:rFonts w:ascii="Times New Roman" w:hAnsi="Times New Roman"/>
      <w:b/>
      <w:bCs/>
      <w:kern w:val="2"/>
      <w:sz w:val="32"/>
      <w:szCs w:val="32"/>
    </w:rPr>
  </w:style>
  <w:style w:type="paragraph" w:customStyle="1" w:styleId="31">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hart" Target="charts/chart9.xml"/><Relationship Id="rId13" Type="http://schemas.openxmlformats.org/officeDocument/2006/relationships/chart" Target="charts/chart8.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D:\&#20915;&#31639;\2022\&#22270;&#34920;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0915;&#31639;\2021\&#20915;&#31639;&#20844;&#24320;2021\&#22270;&#34920;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20915;&#31639;\2022\&#22270;&#34920;3.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20915;&#31639;\2022\&#22270;&#34920;4.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20915;&#31639;\2022\&#22270;&#34920;5.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20915;&#31639;\2021\&#20915;&#31639;&#20844;&#24320;2021\&#22270;&#34920;6.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20915;&#31639;\2021\&#20915;&#31639;&#20844;&#24320;2021\&#22270;&#34920;7.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20915;&#31639;\2021\&#20915;&#31639;&#20844;&#24320;2021\&#22270;&#34920;8.xls"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20915;&#31639;\&#20915;&#31639;2020\2020&#24180;&#20915;&#31639;&#32534;&#21046;&#22270;&#34920;\&#22270;&#34920;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[图表1.xls]Sheet1!$C$2</c:f>
              <c:strCache>
                <c:ptCount val="1"/>
                <c:pt idx="0">
                  <c:v>2022年收入决算总计111.2万元</c:v>
                </c:pt>
              </c:strCache>
            </c:strRef>
          </c:tx>
          <c:spPr>
            <a:solidFill>
              <a:srgbClr val="5B9BD5">
                <a:alpha val="100000"/>
              </a:srgbClr>
            </a:solidFill>
            <a:ln w="3175">
              <a:noFill/>
            </a:ln>
          </c:spPr>
          <c:invertIfNegative val="0"/>
          <c:dLbls>
            <c:delete val="1"/>
          </c:dLbls>
          <c:cat>
            <c:strRef>
              <c:f>[图表1.xls]Sheet1!$C$2:$D$2</c:f>
              <c:strCache>
                <c:ptCount val="2"/>
                <c:pt idx="0">
                  <c:v>2022年收入决算总计111.2万元</c:v>
                </c:pt>
                <c:pt idx="1">
                  <c:v>2021年收入决算总计114.97万元</c:v>
                </c:pt>
              </c:strCache>
            </c:strRef>
          </c:cat>
          <c:val>
            <c:numRef>
              <c:f>[图表1.xls]Sheet1!$C$3:$D$3</c:f>
              <c:numCache>
                <c:formatCode>General</c:formatCode>
                <c:ptCount val="2"/>
                <c:pt idx="0">
                  <c:v>111.2</c:v>
                </c:pt>
                <c:pt idx="1">
                  <c:v>114.97</c:v>
                </c:pt>
              </c:numCache>
            </c:numRef>
          </c:val>
        </c:ser>
        <c:ser>
          <c:idx val="1"/>
          <c:order val="1"/>
          <c:tx>
            <c:strRef>
              <c:f>[图表1.xls]Sheet1!#REF!</c:f>
              <c:strCache>
                <c:ptCount val="1"/>
                <c:pt idx="0">
                  <c:v/>
                </c:pt>
              </c:strCache>
            </c:strRef>
          </c:tx>
          <c:spPr>
            <a:solidFill>
              <a:srgbClr val="ED7D31">
                <a:alpha val="100000"/>
              </a:srgbClr>
            </a:solidFill>
            <a:ln w="3175">
              <a:noFill/>
            </a:ln>
          </c:spPr>
          <c:invertIfNegative val="0"/>
          <c:dLbls>
            <c:delete val="1"/>
          </c:dLbls>
          <c:cat>
            <c:strRef>
              <c:f>[图表1.xls]Sheet1!$C$2:$D$2</c:f>
              <c:strCache>
                <c:ptCount val="2"/>
                <c:pt idx="0">
                  <c:v>2022年收入决算总计111.2万元</c:v>
                </c:pt>
                <c:pt idx="1">
                  <c:v>2021年收入决算总计114.97万元</c:v>
                </c:pt>
              </c:strCache>
            </c:strRef>
          </c:cat>
          <c:val>
            <c:numRef>
              <c:f>[图表1.xls]Sheet1!#REF!</c:f>
              <c:numCache>
                <c:formatCode>General</c:formatCode>
                <c:ptCount val="1"/>
              </c:numCache>
            </c:numRef>
          </c:val>
        </c:ser>
        <c:ser>
          <c:idx val="2"/>
          <c:order val="2"/>
          <c:tx>
            <c:strRef>
              <c:f>[图表1.xls]Sheet1!#REF!</c:f>
              <c:strCache>
                <c:ptCount val="1"/>
                <c:pt idx="0">
                  <c:v/>
                </c:pt>
              </c:strCache>
            </c:strRef>
          </c:tx>
          <c:spPr>
            <a:solidFill>
              <a:srgbClr val="A5A5A5">
                <a:alpha val="100000"/>
              </a:srgbClr>
            </a:solidFill>
            <a:ln w="3175">
              <a:noFill/>
            </a:ln>
          </c:spPr>
          <c:invertIfNegative val="0"/>
          <c:dLbls>
            <c:delete val="1"/>
          </c:dLbls>
          <c:cat>
            <c:strRef>
              <c:f>[图表1.xls]Sheet1!$C$2:$D$2</c:f>
              <c:strCache>
                <c:ptCount val="2"/>
                <c:pt idx="0">
                  <c:v>2022年收入决算总计111.2万元</c:v>
                </c:pt>
                <c:pt idx="1">
                  <c:v>2021年收入决算总计114.97万元</c:v>
                </c:pt>
              </c:strCache>
            </c:strRef>
          </c:cat>
          <c:val>
            <c:numRef>
              <c:f>[图表1.xls]Sheet1!#REF!</c:f>
              <c:numCache>
                <c:formatCode>General</c:formatCode>
                <c:ptCount val="1"/>
              </c:numCache>
            </c:numRef>
          </c:val>
        </c:ser>
        <c:dLbls>
          <c:showLegendKey val="0"/>
          <c:showVal val="0"/>
          <c:showCatName val="0"/>
          <c:showSerName val="0"/>
          <c:showPercent val="0"/>
          <c:showBubbleSize val="0"/>
        </c:dLbls>
        <c:gapWidth val="219"/>
        <c:overlap val="-27"/>
        <c:axId val="863077233"/>
        <c:axId val="954229871"/>
      </c:barChart>
      <c:catAx>
        <c:axId val="863077233"/>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54229871"/>
        <c:crosses val="autoZero"/>
        <c:auto val="1"/>
        <c:lblAlgn val="ctr"/>
        <c:lblOffset val="100"/>
        <c:noMultiLvlLbl val="0"/>
      </c:catAx>
      <c:valAx>
        <c:axId val="954229871"/>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ln w="3175" cap="flat" cmpd="sng" algn="ctr">
            <a:noFill/>
            <a:prstDash val="solid"/>
            <a:round/>
          </a:ln>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63077233"/>
        <c:crosses val="autoZero"/>
        <c:crossBetween val="between"/>
      </c:valAx>
      <c:spPr>
        <a:noFill/>
        <a:ln w="3175">
          <a:noFill/>
        </a:ln>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[图表2.xls]Sheet1!$B$3</c:f>
              <c:strCache>
                <c:ptCount val="1"/>
                <c:pt idx="0">
                  <c:v/>
                </c:pt>
              </c:strCache>
            </c:strRef>
          </c:tx>
          <c:spPr>
            <a:solidFill>
              <a:srgbClr val="5B9BD5">
                <a:alpha val="100000"/>
              </a:srgbClr>
            </a:solidFill>
            <a:ln w="3175">
              <a:noFill/>
            </a:ln>
          </c:spPr>
          <c:invertIfNegative val="0"/>
          <c:dLbls>
            <c:delete val="1"/>
          </c:dLbls>
          <c:cat>
            <c:strRef>
              <c:f>[图表2.xls]Sheet1!$C$2:$D$2</c:f>
              <c:strCache>
                <c:ptCount val="2"/>
                <c:pt idx="0">
                  <c:v>2022年支出决算总计111.2万元</c:v>
                </c:pt>
                <c:pt idx="1">
                  <c:v>2021年支出决算总计118.07万元</c:v>
                </c:pt>
              </c:strCache>
            </c:strRef>
          </c:cat>
          <c:val>
            <c:numRef>
              <c:f>[图表2.xls]Sheet1!$C$3:$D$3</c:f>
              <c:numCache>
                <c:formatCode>General</c:formatCode>
                <c:ptCount val="2"/>
                <c:pt idx="0">
                  <c:v>111.2</c:v>
                </c:pt>
                <c:pt idx="1">
                  <c:v>118.07</c:v>
                </c:pt>
              </c:numCache>
            </c:numRef>
          </c:val>
        </c:ser>
        <c:ser>
          <c:idx val="1"/>
          <c:order val="1"/>
          <c:tx>
            <c:strRef>
              <c:f>[图表2.xls]Sheet1!$B$4</c:f>
              <c:strCache>
                <c:ptCount val="1"/>
                <c:pt idx="0">
                  <c:v/>
                </c:pt>
              </c:strCache>
            </c:strRef>
          </c:tx>
          <c:spPr>
            <a:solidFill>
              <a:srgbClr val="ED7D31">
                <a:alpha val="100000"/>
              </a:srgbClr>
            </a:solidFill>
            <a:ln w="3175">
              <a:noFill/>
            </a:ln>
          </c:spPr>
          <c:invertIfNegative val="0"/>
          <c:dLbls>
            <c:delete val="1"/>
          </c:dLbls>
          <c:cat>
            <c:strRef>
              <c:f>[图表2.xls]Sheet1!$C$2:$D$2</c:f>
              <c:strCache>
                <c:ptCount val="2"/>
                <c:pt idx="0">
                  <c:v>2022年支出决算总计111.2万元</c:v>
                </c:pt>
                <c:pt idx="1">
                  <c:v>2021年支出决算总计118.07万元</c:v>
                </c:pt>
              </c:strCache>
            </c:strRef>
          </c:cat>
          <c:val>
            <c:numRef>
              <c:f>[图表2.xls]Sheet1!$C$4:$D$4</c:f>
              <c:numCache>
                <c:formatCode>General</c:formatCode>
                <c:ptCount val="2"/>
              </c:numCache>
            </c:numRef>
          </c:val>
        </c:ser>
        <c:ser>
          <c:idx val="2"/>
          <c:order val="2"/>
          <c:tx>
            <c:strRef>
              <c:f>[图表2.xls]Sheet1!$B$5</c:f>
              <c:strCache>
                <c:ptCount val="1"/>
                <c:pt idx="0">
                  <c:v/>
                </c:pt>
              </c:strCache>
            </c:strRef>
          </c:tx>
          <c:spPr>
            <a:solidFill>
              <a:srgbClr val="A5A5A5">
                <a:alpha val="100000"/>
              </a:srgbClr>
            </a:solidFill>
            <a:ln w="3175">
              <a:noFill/>
            </a:ln>
          </c:spPr>
          <c:invertIfNegative val="0"/>
          <c:dLbls>
            <c:delete val="1"/>
          </c:dLbls>
          <c:cat>
            <c:strRef>
              <c:f>[图表2.xls]Sheet1!$C$2:$D$2</c:f>
              <c:strCache>
                <c:ptCount val="2"/>
                <c:pt idx="0">
                  <c:v>2022年支出决算总计111.2万元</c:v>
                </c:pt>
                <c:pt idx="1">
                  <c:v>2021年支出决算总计118.07万元</c:v>
                </c:pt>
              </c:strCache>
            </c:strRef>
          </c:cat>
          <c:val>
            <c:numRef>
              <c:f>[图表2.xls]Sheet1!$C$5:$D$5</c:f>
              <c:numCache>
                <c:formatCode>General</c:formatCode>
                <c:ptCount val="2"/>
              </c:numCache>
            </c:numRef>
          </c:val>
        </c:ser>
        <c:dLbls>
          <c:showLegendKey val="0"/>
          <c:showVal val="0"/>
          <c:showCatName val="0"/>
          <c:showSerName val="0"/>
          <c:showPercent val="0"/>
          <c:showBubbleSize val="0"/>
        </c:dLbls>
        <c:gapWidth val="219"/>
        <c:overlap val="-27"/>
        <c:axId val="580044556"/>
        <c:axId val="683734284"/>
      </c:barChart>
      <c:catAx>
        <c:axId val="580044556"/>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83734284"/>
        <c:crosses val="autoZero"/>
        <c:auto val="1"/>
        <c:lblAlgn val="ctr"/>
        <c:lblOffset val="100"/>
        <c:noMultiLvlLbl val="0"/>
      </c:catAx>
      <c:valAx>
        <c:axId val="683734284"/>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ln w="3175" cap="flat" cmpd="sng" algn="ctr">
            <a:noFill/>
            <a:prstDash val="solid"/>
            <a:round/>
          </a:ln>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0044556"/>
        <c:crosses val="autoZero"/>
        <c:crossBetween val="between"/>
      </c:valAx>
      <c:spPr>
        <a:noFill/>
        <a:ln w="3175">
          <a:noFill/>
        </a:ln>
      </c:spPr>
    </c:plotArea>
    <c:plotVisOnly val="1"/>
    <c:dispBlanksAs val="gap"/>
    <c:showDLblsOverMax val="0"/>
  </c:chart>
  <c:spPr>
    <a:solidFill>
      <a:schemeClr val="bg2"/>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[图表3.xls]Sheet1!$B$3</c:f>
              <c:strCache>
                <c:ptCount val="1"/>
                <c:pt idx="0">
                  <c:v/>
                </c:pt>
              </c:strCache>
            </c:strRef>
          </c:tx>
          <c:spPr>
            <a:solidFill>
              <a:srgbClr val="5B9BD5">
                <a:alpha val="100000"/>
              </a:srgbClr>
            </a:solidFill>
            <a:ln w="3175">
              <a:solidFill>
                <a:srgbClr val="000000"/>
              </a:solidFill>
            </a:ln>
          </c:spPr>
          <c:explosion val="0"/>
          <c:dPt>
            <c:idx val="0"/>
            <c:bubble3D val="0"/>
            <c:explosion val="0"/>
            <c:spPr>
              <a:solidFill>
                <a:srgbClr val="5B9BD5">
                  <a:alpha val="100000"/>
                </a:srgbClr>
              </a:solidFill>
              <a:ln w="3175">
                <a:solidFill>
                  <a:srgbClr val="000000"/>
                </a:solidFill>
              </a:ln>
            </c:spPr>
          </c:dPt>
          <c:dPt>
            <c:idx val="1"/>
            <c:bubble3D val="0"/>
            <c:explosion val="0"/>
            <c:spPr>
              <a:solidFill>
                <a:srgbClr val="5B9BD5">
                  <a:alpha val="100000"/>
                </a:srgbClr>
              </a:solidFill>
              <a:ln w="3175">
                <a:solidFill>
                  <a:srgbClr val="000000"/>
                </a:solidFill>
              </a:ln>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000000">
                          <a:alpha val="100000"/>
                        </a:srgbClr>
                      </a:solidFill>
                      <a:prstDash val="solid"/>
                      <a:round/>
                    </a:ln>
                  </c:spPr>
                </c15:leaderLines>
              </c:ext>
            </c:extLst>
          </c:dLbls>
          <c:cat>
            <c:strRef>
              <c:f>[图表3.xls]Sheet1!$C$2:$D$2</c:f>
              <c:strCache>
                <c:ptCount val="2"/>
                <c:pt idx="0">
                  <c:v>一般公共预算财政拨款收入111.2万元占100%</c:v>
                </c:pt>
              </c:strCache>
            </c:strRef>
          </c:cat>
          <c:val>
            <c:numRef>
              <c:f>[图表3.xls]Sheet1!$C$3:$D$3</c:f>
              <c:numCache>
                <c:formatCode>General</c:formatCode>
                <c:ptCount val="2"/>
                <c:pt idx="0">
                  <c:v>111.2</c:v>
                </c:pt>
              </c:numCache>
            </c:numRef>
          </c:val>
        </c:ser>
        <c:ser>
          <c:idx val="1"/>
          <c:order val="1"/>
          <c:tx>
            <c:strRef>
              <c:f>[图表3.xls]Sheet1!$B$4</c:f>
              <c:strCache>
                <c:ptCount val="1"/>
                <c:pt idx="0">
                  <c:v/>
                </c:pt>
              </c:strCache>
            </c:strRef>
          </c:tx>
          <c:spPr>
            <a:solidFill>
              <a:srgbClr val="ED7D31">
                <a:alpha val="100000"/>
              </a:srgbClr>
            </a:solidFill>
            <a:ln w="3175">
              <a:noFill/>
            </a:ln>
          </c:spPr>
          <c:explosion val="0"/>
          <c:dPt>
            <c:idx val="0"/>
            <c:bubble3D val="0"/>
            <c:explosion val="0"/>
            <c:spPr>
              <a:solidFill>
                <a:srgbClr val="ED7D31">
                  <a:alpha val="100000"/>
                </a:srgbClr>
              </a:solidFill>
              <a:ln w="3175">
                <a:noFill/>
              </a:ln>
            </c:spPr>
          </c:dPt>
          <c:dPt>
            <c:idx val="1"/>
            <c:bubble3D val="0"/>
            <c:explosion val="0"/>
            <c:spPr>
              <a:solidFill>
                <a:srgbClr val="ED7D31">
                  <a:alpha val="100000"/>
                </a:srgbClr>
              </a:solidFill>
              <a:ln w="3175">
                <a:noFill/>
              </a:ln>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000000">
                          <a:alpha val="100000"/>
                        </a:srgbClr>
                      </a:solidFill>
                      <a:prstDash val="solid"/>
                      <a:round/>
                    </a:ln>
                  </c:spPr>
                </c15:leaderLines>
              </c:ext>
            </c:extLst>
          </c:dLbls>
          <c:cat>
            <c:strRef>
              <c:f>[图表3.xls]Sheet1!$C$2:$D$2</c:f>
              <c:strCache>
                <c:ptCount val="2"/>
                <c:pt idx="0">
                  <c:v>一般公共预算财政拨款收入111.2万元占100%</c:v>
                </c:pt>
              </c:strCache>
            </c:strRef>
          </c:cat>
          <c:val>
            <c:numRef>
              <c:f>[图表3.xls]Sheet1!$C$4:$D$4</c:f>
              <c:numCache>
                <c:formatCode>General</c:formatCode>
                <c:ptCount val="2"/>
              </c:numCache>
            </c:numRef>
          </c:val>
        </c:ser>
        <c:ser>
          <c:idx val="2"/>
          <c:order val="2"/>
          <c:tx>
            <c:strRef>
              <c:f>[图表3.xls]Sheet1!$B$5</c:f>
              <c:strCache>
                <c:ptCount val="1"/>
                <c:pt idx="0">
                  <c:v/>
                </c:pt>
              </c:strCache>
            </c:strRef>
          </c:tx>
          <c:spPr>
            <a:solidFill>
              <a:srgbClr val="A5A5A5">
                <a:alpha val="100000"/>
              </a:srgbClr>
            </a:solidFill>
            <a:ln w="3175">
              <a:noFill/>
            </a:ln>
          </c:spPr>
          <c:explosion val="0"/>
          <c:dPt>
            <c:idx val="0"/>
            <c:bubble3D val="0"/>
            <c:explosion val="0"/>
            <c:spPr>
              <a:solidFill>
                <a:srgbClr val="A5A5A5">
                  <a:alpha val="100000"/>
                </a:srgbClr>
              </a:solidFill>
              <a:ln w="3175">
                <a:noFill/>
              </a:ln>
            </c:spPr>
          </c:dPt>
          <c:dPt>
            <c:idx val="1"/>
            <c:bubble3D val="0"/>
            <c:explosion val="0"/>
            <c:spPr>
              <a:solidFill>
                <a:srgbClr val="A5A5A5">
                  <a:alpha val="100000"/>
                </a:srgbClr>
              </a:solidFill>
              <a:ln w="3175">
                <a:noFill/>
              </a:ln>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000000">
                          <a:alpha val="100000"/>
                        </a:srgbClr>
                      </a:solidFill>
                      <a:prstDash val="solid"/>
                      <a:round/>
                    </a:ln>
                  </c:spPr>
                </c15:leaderLines>
              </c:ext>
            </c:extLst>
          </c:dLbls>
          <c:cat>
            <c:strRef>
              <c:f>[图表3.xls]Sheet1!$C$2:$D$2</c:f>
              <c:strCache>
                <c:ptCount val="2"/>
                <c:pt idx="0">
                  <c:v>一般公共预算财政拨款收入111.2万元占100%</c:v>
                </c:pt>
              </c:strCache>
            </c:strRef>
          </c:cat>
          <c:val>
            <c:numRef>
              <c:f>[图表3.xls]Sheet1!$C$5:$D$5</c:f>
              <c:numCache>
                <c:formatCode>General</c:formatCode>
                <c:ptCount val="2"/>
              </c:numCache>
            </c:numRef>
          </c:val>
        </c:ser>
        <c:dLbls>
          <c:showLegendKey val="0"/>
          <c:showVal val="0"/>
          <c:showCatName val="0"/>
          <c:showSerName val="0"/>
          <c:showPercent val="0"/>
          <c:showBubbleSize val="0"/>
          <c:showLeaderLines val="1"/>
        </c:dLbls>
        <c:firstSliceAng val="0"/>
      </c:pieChart>
      <c:spPr>
        <a:noFill/>
        <a:ln w="3175">
          <a:noFill/>
        </a:ln>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solidFill>
      <a:schemeClr val="bg2"/>
    </a:solidFill>
    <a:ln w="9525" cap="flat" cmpd="sng" algn="ctr">
      <a:noFill/>
      <a:prstDash val="solid"/>
      <a:round/>
    </a:ln>
    <a:effectLst/>
  </c:spPr>
  <c:txPr>
    <a:bodyPr wrap="square"/>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[图表4.xls]Sheet1!$B$3</c:f>
              <c:strCache>
                <c:ptCount val="1"/>
                <c:pt idx="0">
                  <c:v/>
                </c:pt>
              </c:strCache>
            </c:strRef>
          </c:tx>
          <c:spPr>
            <a:solidFill>
              <a:srgbClr val="5B9BD5">
                <a:alpha val="100000"/>
              </a:srgbClr>
            </a:solidFill>
            <a:ln w="3175">
              <a:solidFill>
                <a:srgbClr val="000000"/>
              </a:solidFill>
            </a:ln>
          </c:spPr>
          <c:explosion val="0"/>
          <c:dPt>
            <c:idx val="0"/>
            <c:bubble3D val="0"/>
            <c:explosion val="0"/>
            <c:spPr>
              <a:solidFill>
                <a:srgbClr val="5B9BD5">
                  <a:alpha val="100000"/>
                </a:srgbClr>
              </a:solidFill>
              <a:ln w="3175">
                <a:solidFill>
                  <a:srgbClr val="000000"/>
                </a:solidFill>
              </a:ln>
            </c:spPr>
          </c:dPt>
          <c:dPt>
            <c:idx val="1"/>
            <c:bubble3D val="0"/>
            <c:explosion val="0"/>
            <c:spPr>
              <a:solidFill>
                <a:srgbClr val="5B9BD5">
                  <a:alpha val="100000"/>
                </a:srgbClr>
              </a:solidFill>
              <a:ln w="3175">
                <a:solidFill>
                  <a:srgbClr val="000000"/>
                </a:solidFill>
              </a:ln>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000000">
                          <a:alpha val="100000"/>
                        </a:srgbClr>
                      </a:solidFill>
                      <a:prstDash val="solid"/>
                      <a:round/>
                    </a:ln>
                  </c:spPr>
                </c15:leaderLines>
              </c:ext>
            </c:extLst>
          </c:dLbls>
          <c:cat>
            <c:strRef>
              <c:f>[图表4.xls]Sheet1!$C$2:$D$2</c:f>
              <c:strCache>
                <c:ptCount val="2"/>
                <c:pt idx="0">
                  <c:v>基本支出111.2万元占100% </c:v>
                </c:pt>
              </c:strCache>
            </c:strRef>
          </c:cat>
          <c:val>
            <c:numRef>
              <c:f>[图表4.xls]Sheet1!$C$3:$D$3</c:f>
              <c:numCache>
                <c:formatCode>General</c:formatCode>
                <c:ptCount val="2"/>
                <c:pt idx="0">
                  <c:v>111.2</c:v>
                </c:pt>
              </c:numCache>
            </c:numRef>
          </c:val>
        </c:ser>
        <c:ser>
          <c:idx val="1"/>
          <c:order val="1"/>
          <c:tx>
            <c:strRef>
              <c:f>[图表4.xls]Sheet1!$B$4</c:f>
              <c:strCache>
                <c:ptCount val="1"/>
                <c:pt idx="0">
                  <c:v/>
                </c:pt>
              </c:strCache>
            </c:strRef>
          </c:tx>
          <c:spPr>
            <a:solidFill>
              <a:srgbClr val="ED7D31">
                <a:alpha val="100000"/>
              </a:srgbClr>
            </a:solidFill>
            <a:ln w="3175">
              <a:noFill/>
            </a:ln>
          </c:spPr>
          <c:explosion val="0"/>
          <c:dPt>
            <c:idx val="0"/>
            <c:bubble3D val="0"/>
            <c:explosion val="0"/>
            <c:spPr>
              <a:solidFill>
                <a:srgbClr val="ED7D31">
                  <a:alpha val="100000"/>
                </a:srgbClr>
              </a:solidFill>
              <a:ln w="3175">
                <a:noFill/>
              </a:ln>
            </c:spPr>
          </c:dPt>
          <c:dPt>
            <c:idx val="1"/>
            <c:bubble3D val="0"/>
            <c:explosion val="0"/>
            <c:spPr>
              <a:solidFill>
                <a:srgbClr val="ED7D31">
                  <a:alpha val="100000"/>
                </a:srgbClr>
              </a:solidFill>
              <a:ln w="3175">
                <a:noFill/>
              </a:ln>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000000">
                          <a:alpha val="100000"/>
                        </a:srgbClr>
                      </a:solidFill>
                      <a:prstDash val="solid"/>
                      <a:round/>
                    </a:ln>
                  </c:spPr>
                </c15:leaderLines>
              </c:ext>
            </c:extLst>
          </c:dLbls>
          <c:cat>
            <c:strRef>
              <c:f>[图表4.xls]Sheet1!$C$2:$D$2</c:f>
              <c:strCache>
                <c:ptCount val="2"/>
                <c:pt idx="0">
                  <c:v>基本支出111.2万元占100% </c:v>
                </c:pt>
              </c:strCache>
            </c:strRef>
          </c:cat>
          <c:val>
            <c:numRef>
              <c:f>[图表4.xls]Sheet1!$C$4:$D$4</c:f>
              <c:numCache>
                <c:formatCode>General</c:formatCode>
                <c:ptCount val="2"/>
              </c:numCache>
            </c:numRef>
          </c:val>
        </c:ser>
        <c:ser>
          <c:idx val="2"/>
          <c:order val="2"/>
          <c:tx>
            <c:strRef>
              <c:f>[图表4.xls]Sheet1!$B$5</c:f>
              <c:strCache>
                <c:ptCount val="1"/>
                <c:pt idx="0">
                  <c:v/>
                </c:pt>
              </c:strCache>
            </c:strRef>
          </c:tx>
          <c:spPr>
            <a:solidFill>
              <a:srgbClr val="A5A5A5">
                <a:alpha val="100000"/>
              </a:srgbClr>
            </a:solidFill>
            <a:ln w="3175">
              <a:noFill/>
            </a:ln>
          </c:spPr>
          <c:explosion val="0"/>
          <c:dPt>
            <c:idx val="0"/>
            <c:bubble3D val="0"/>
            <c:explosion val="0"/>
            <c:spPr>
              <a:solidFill>
                <a:srgbClr val="A5A5A5">
                  <a:alpha val="100000"/>
                </a:srgbClr>
              </a:solidFill>
              <a:ln w="3175">
                <a:noFill/>
              </a:ln>
            </c:spPr>
          </c:dPt>
          <c:dPt>
            <c:idx val="1"/>
            <c:bubble3D val="0"/>
            <c:explosion val="0"/>
            <c:spPr>
              <a:solidFill>
                <a:srgbClr val="A5A5A5">
                  <a:alpha val="100000"/>
                </a:srgbClr>
              </a:solidFill>
              <a:ln w="3175">
                <a:noFill/>
              </a:ln>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000000">
                          <a:alpha val="100000"/>
                        </a:srgbClr>
                      </a:solidFill>
                      <a:prstDash val="solid"/>
                      <a:round/>
                    </a:ln>
                  </c:spPr>
                </c15:leaderLines>
              </c:ext>
            </c:extLst>
          </c:dLbls>
          <c:cat>
            <c:strRef>
              <c:f>[图表4.xls]Sheet1!$C$2:$D$2</c:f>
              <c:strCache>
                <c:ptCount val="2"/>
                <c:pt idx="0">
                  <c:v>基本支出111.2万元占100% </c:v>
                </c:pt>
              </c:strCache>
            </c:strRef>
          </c:cat>
          <c:val>
            <c:numRef>
              <c:f>[图表4.xls]Sheet1!$C$5:$D$5</c:f>
              <c:numCache>
                <c:formatCode>General</c:formatCode>
                <c:ptCount val="2"/>
              </c:numCache>
            </c:numRef>
          </c:val>
        </c:ser>
        <c:dLbls>
          <c:showLegendKey val="0"/>
          <c:showVal val="0"/>
          <c:showCatName val="0"/>
          <c:showSerName val="0"/>
          <c:showPercent val="0"/>
          <c:showBubbleSize val="0"/>
          <c:showLeaderLines val="1"/>
        </c:dLbls>
        <c:firstSliceAng val="0"/>
      </c:pieChart>
      <c:spPr>
        <a:noFill/>
        <a:ln w="3175">
          <a:noFill/>
        </a:ln>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solidFill>
      <a:schemeClr val="bg2"/>
    </a:solidFill>
    <a:ln w="9525" cap="flat" cmpd="sng" algn="ctr">
      <a:noFill/>
      <a:prstDash val="solid"/>
      <a:round/>
    </a:ln>
    <a:effectLst/>
  </c:spPr>
  <c:txPr>
    <a:bodyPr wrap="square"/>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[图表5.xls]Sheet1!$B$3</c:f>
              <c:strCache>
                <c:ptCount val="1"/>
                <c:pt idx="0">
                  <c:v/>
                </c:pt>
              </c:strCache>
            </c:strRef>
          </c:tx>
          <c:spPr>
            <a:solidFill>
              <a:srgbClr val="5B9BD5">
                <a:alpha val="100000"/>
              </a:srgbClr>
            </a:solidFill>
            <a:ln w="3175">
              <a:noFill/>
            </a:ln>
          </c:spPr>
          <c:invertIfNegative val="0"/>
          <c:dLbls>
            <c:delete val="1"/>
          </c:dLbls>
          <c:cat>
            <c:strRef>
              <c:f>[图表5.xls]Sheet1!$C$2:$D$2</c:f>
              <c:strCache>
                <c:ptCount val="2"/>
                <c:pt idx="0">
                  <c:v>2022年财政拨款收入总计111.2万元</c:v>
                </c:pt>
                <c:pt idx="1">
                  <c:v>2021年财政拨款收入总计114.97万元</c:v>
                </c:pt>
              </c:strCache>
            </c:strRef>
          </c:cat>
          <c:val>
            <c:numRef>
              <c:f>[图表5.xls]Sheet1!$C$3:$D$3</c:f>
              <c:numCache>
                <c:formatCode>General</c:formatCode>
                <c:ptCount val="2"/>
                <c:pt idx="0">
                  <c:v>111.2</c:v>
                </c:pt>
                <c:pt idx="1">
                  <c:v>114.97</c:v>
                </c:pt>
              </c:numCache>
            </c:numRef>
          </c:val>
        </c:ser>
        <c:ser>
          <c:idx val="1"/>
          <c:order val="1"/>
          <c:tx>
            <c:strRef>
              <c:f>[图表5.xls]Sheet1!$B$4</c:f>
              <c:strCache>
                <c:ptCount val="1"/>
                <c:pt idx="0">
                  <c:v/>
                </c:pt>
              </c:strCache>
            </c:strRef>
          </c:tx>
          <c:spPr>
            <a:solidFill>
              <a:srgbClr val="ED7D31">
                <a:alpha val="100000"/>
              </a:srgbClr>
            </a:solidFill>
            <a:ln w="3175">
              <a:noFill/>
            </a:ln>
          </c:spPr>
          <c:invertIfNegative val="0"/>
          <c:dLbls>
            <c:delete val="1"/>
          </c:dLbls>
          <c:cat>
            <c:strRef>
              <c:f>[图表5.xls]Sheet1!$C$2:$D$2</c:f>
              <c:strCache>
                <c:ptCount val="2"/>
                <c:pt idx="0">
                  <c:v>2022年财政拨款收入总计111.2万元</c:v>
                </c:pt>
                <c:pt idx="1">
                  <c:v>2021年财政拨款收入总计114.97万元</c:v>
                </c:pt>
              </c:strCache>
            </c:strRef>
          </c:cat>
          <c:val>
            <c:numRef>
              <c:f>[图表5.xls]Sheet1!$C$4:$D$4</c:f>
              <c:numCache>
                <c:formatCode>General</c:formatCode>
                <c:ptCount val="2"/>
              </c:numCache>
            </c:numRef>
          </c:val>
        </c:ser>
        <c:ser>
          <c:idx val="2"/>
          <c:order val="2"/>
          <c:tx>
            <c:strRef>
              <c:f>[图表5.xls]Sheet1!$B$5</c:f>
              <c:strCache>
                <c:ptCount val="1"/>
                <c:pt idx="0">
                  <c:v/>
                </c:pt>
              </c:strCache>
            </c:strRef>
          </c:tx>
          <c:spPr>
            <a:solidFill>
              <a:srgbClr val="A5A5A5">
                <a:alpha val="100000"/>
              </a:srgbClr>
            </a:solidFill>
            <a:ln w="3175">
              <a:noFill/>
            </a:ln>
          </c:spPr>
          <c:invertIfNegative val="0"/>
          <c:dLbls>
            <c:delete val="1"/>
          </c:dLbls>
          <c:cat>
            <c:strRef>
              <c:f>[图表5.xls]Sheet1!$C$2:$D$2</c:f>
              <c:strCache>
                <c:ptCount val="2"/>
                <c:pt idx="0">
                  <c:v>2022年财政拨款收入总计111.2万元</c:v>
                </c:pt>
                <c:pt idx="1">
                  <c:v>2021年财政拨款收入总计114.97万元</c:v>
                </c:pt>
              </c:strCache>
            </c:strRef>
          </c:cat>
          <c:val>
            <c:numRef>
              <c:f>[图表5.xls]Sheet1!$C$5:$D$5</c:f>
              <c:numCache>
                <c:formatCode>General</c:formatCode>
                <c:ptCount val="2"/>
              </c:numCache>
            </c:numRef>
          </c:val>
        </c:ser>
        <c:dLbls>
          <c:showLegendKey val="0"/>
          <c:showVal val="0"/>
          <c:showCatName val="0"/>
          <c:showSerName val="0"/>
          <c:showPercent val="0"/>
          <c:showBubbleSize val="0"/>
        </c:dLbls>
        <c:gapWidth val="219"/>
        <c:overlap val="-27"/>
        <c:axId val="455621258"/>
        <c:axId val="652026684"/>
      </c:barChart>
      <c:catAx>
        <c:axId val="455621258"/>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52026684"/>
        <c:crosses val="autoZero"/>
        <c:auto val="1"/>
        <c:lblAlgn val="ctr"/>
        <c:lblOffset val="100"/>
        <c:noMultiLvlLbl val="0"/>
      </c:catAx>
      <c:valAx>
        <c:axId val="652026684"/>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ln w="3175" cap="flat" cmpd="sng" algn="ctr">
            <a:noFill/>
            <a:prstDash val="solid"/>
            <a:round/>
          </a:ln>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55621258"/>
        <c:crosses val="autoZero"/>
        <c:crossBetween val="between"/>
      </c:valAx>
      <c:spPr>
        <a:noFill/>
        <a:ln w="3175">
          <a:noFill/>
        </a:ln>
      </c:spPr>
    </c:plotArea>
    <c:plotVisOnly val="1"/>
    <c:dispBlanksAs val="gap"/>
    <c:showDLblsOverMax val="0"/>
  </c:chart>
  <c:spPr>
    <a:solidFill>
      <a:schemeClr val="bg2"/>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703047825563185"/>
          <c:y val="0.118326118326118"/>
          <c:w val="0.908613420069871"/>
          <c:h val="0.796940836940837"/>
        </c:manualLayout>
      </c:layout>
      <c:barChart>
        <c:barDir val="col"/>
        <c:grouping val="clustered"/>
        <c:varyColors val="0"/>
        <c:ser>
          <c:idx val="0"/>
          <c:order val="0"/>
          <c:tx>
            <c:strRef>
              <c:f>[图表6.xls]Sheet1!$B$3</c:f>
              <c:strCache>
                <c:ptCount val="1"/>
                <c:pt idx="0">
                  <c:v/>
                </c:pt>
              </c:strCache>
            </c:strRef>
          </c:tx>
          <c:spPr>
            <a:solidFill>
              <a:srgbClr val="5B9BD5">
                <a:alpha val="100000"/>
              </a:srgbClr>
            </a:solidFill>
            <a:ln w="3175">
              <a:noFill/>
            </a:ln>
          </c:spPr>
          <c:invertIfNegative val="0"/>
          <c:dLbls>
            <c:delete val="1"/>
          </c:dLbls>
          <c:cat>
            <c:strRef>
              <c:f>[图表6.xls]Sheet1!$C$2:$D$2</c:f>
              <c:strCache>
                <c:ptCount val="2"/>
                <c:pt idx="0">
                  <c:v>2022年财政拨款支出总计111.2万元</c:v>
                </c:pt>
                <c:pt idx="1">
                  <c:v>2021年财政拨款支出总计118.04万元</c:v>
                </c:pt>
              </c:strCache>
            </c:strRef>
          </c:cat>
          <c:val>
            <c:numRef>
              <c:f>[图表6.xls]Sheet1!$C$3:$D$3</c:f>
              <c:numCache>
                <c:formatCode>General</c:formatCode>
                <c:ptCount val="2"/>
                <c:pt idx="0">
                  <c:v>111.2</c:v>
                </c:pt>
                <c:pt idx="1">
                  <c:v>118.04</c:v>
                </c:pt>
              </c:numCache>
            </c:numRef>
          </c:val>
        </c:ser>
        <c:ser>
          <c:idx val="1"/>
          <c:order val="1"/>
          <c:tx>
            <c:strRef>
              <c:f>[图表6.xls]Sheet1!$B$4</c:f>
              <c:strCache>
                <c:ptCount val="1"/>
                <c:pt idx="0">
                  <c:v/>
                </c:pt>
              </c:strCache>
            </c:strRef>
          </c:tx>
          <c:spPr>
            <a:solidFill>
              <a:srgbClr val="ED7D31">
                <a:alpha val="100000"/>
              </a:srgbClr>
            </a:solidFill>
            <a:ln w="3175">
              <a:noFill/>
            </a:ln>
          </c:spPr>
          <c:invertIfNegative val="0"/>
          <c:dLbls>
            <c:delete val="1"/>
          </c:dLbls>
          <c:cat>
            <c:strRef>
              <c:f>[图表6.xls]Sheet1!$C$2:$D$2</c:f>
              <c:strCache>
                <c:ptCount val="2"/>
                <c:pt idx="0">
                  <c:v>2022年财政拨款支出总计111.2万元</c:v>
                </c:pt>
                <c:pt idx="1">
                  <c:v>2021年财政拨款支出总计118.04万元</c:v>
                </c:pt>
              </c:strCache>
            </c:strRef>
          </c:cat>
          <c:val>
            <c:numRef>
              <c:f>[图表6.xls]Sheet1!$C$4:$D$4</c:f>
              <c:numCache>
                <c:formatCode>General</c:formatCode>
                <c:ptCount val="2"/>
              </c:numCache>
            </c:numRef>
          </c:val>
        </c:ser>
        <c:ser>
          <c:idx val="2"/>
          <c:order val="2"/>
          <c:tx>
            <c:strRef>
              <c:f>[图表6.xls]Sheet1!$B$5</c:f>
              <c:strCache>
                <c:ptCount val="1"/>
                <c:pt idx="0">
                  <c:v/>
                </c:pt>
              </c:strCache>
            </c:strRef>
          </c:tx>
          <c:spPr>
            <a:solidFill>
              <a:srgbClr val="A5A5A5">
                <a:alpha val="100000"/>
              </a:srgbClr>
            </a:solidFill>
            <a:ln w="3175">
              <a:noFill/>
            </a:ln>
          </c:spPr>
          <c:invertIfNegative val="0"/>
          <c:dLbls>
            <c:delete val="1"/>
          </c:dLbls>
          <c:cat>
            <c:strRef>
              <c:f>[图表6.xls]Sheet1!$C$2:$D$2</c:f>
              <c:strCache>
                <c:ptCount val="2"/>
                <c:pt idx="0">
                  <c:v>2022年财政拨款支出总计111.2万元</c:v>
                </c:pt>
                <c:pt idx="1">
                  <c:v>2021年财政拨款支出总计118.04万元</c:v>
                </c:pt>
              </c:strCache>
            </c:strRef>
          </c:cat>
          <c:val>
            <c:numRef>
              <c:f>[图表6.xls]Sheet1!$C$5:$D$5</c:f>
              <c:numCache>
                <c:formatCode>General</c:formatCode>
                <c:ptCount val="2"/>
              </c:numCache>
            </c:numRef>
          </c:val>
        </c:ser>
        <c:dLbls>
          <c:showLegendKey val="0"/>
          <c:showVal val="0"/>
          <c:showCatName val="0"/>
          <c:showSerName val="0"/>
          <c:showPercent val="0"/>
          <c:showBubbleSize val="0"/>
        </c:dLbls>
        <c:gapWidth val="219"/>
        <c:overlap val="-27"/>
        <c:axId val="990278904"/>
        <c:axId val="845527179"/>
      </c:barChart>
      <c:catAx>
        <c:axId val="990278904"/>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45527179"/>
        <c:crosses val="autoZero"/>
        <c:auto val="1"/>
        <c:lblAlgn val="ctr"/>
        <c:lblOffset val="100"/>
        <c:noMultiLvlLbl val="0"/>
      </c:catAx>
      <c:valAx>
        <c:axId val="845527179"/>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ln w="3175" cap="flat" cmpd="sng" algn="ctr">
            <a:noFill/>
            <a:prstDash val="solid"/>
            <a:round/>
          </a:ln>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0278904"/>
        <c:crosses val="autoZero"/>
        <c:crossBetween val="between"/>
      </c:valAx>
      <c:spPr>
        <a:noFill/>
        <a:ln w="3175">
          <a:noFill/>
        </a:ln>
      </c:spPr>
    </c:plotArea>
    <c:plotVisOnly val="1"/>
    <c:dispBlanksAs val="gap"/>
    <c:showDLblsOverMax val="0"/>
  </c:chart>
  <c:spPr>
    <a:solidFill>
      <a:schemeClr val="bg2"/>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[图表7.xls]Sheet1!$B$3</c:f>
              <c:strCache>
                <c:ptCount val="1"/>
                <c:pt idx="0">
                  <c:v/>
                </c:pt>
              </c:strCache>
            </c:strRef>
          </c:tx>
          <c:spPr>
            <a:solidFill>
              <a:srgbClr val="5B9BD5">
                <a:alpha val="100000"/>
              </a:srgbClr>
            </a:solidFill>
            <a:ln w="3175">
              <a:noFill/>
            </a:ln>
          </c:spPr>
          <c:invertIfNegative val="0"/>
          <c:dLbls>
            <c:delete val="1"/>
          </c:dLbls>
          <c:cat>
            <c:strRef>
              <c:f>[图表7.xls]Sheet1!$C$2:$D$2</c:f>
              <c:strCache>
                <c:ptCount val="2"/>
                <c:pt idx="0">
                  <c:v>2022年一般公共预算财政拨款支出支出总计111.2万元</c:v>
                </c:pt>
                <c:pt idx="1">
                  <c:v>2021年一般公共预算财政拨款支出支出总计118.04万元</c:v>
                </c:pt>
              </c:strCache>
            </c:strRef>
          </c:cat>
          <c:val>
            <c:numRef>
              <c:f>[图表7.xls]Sheet1!$C$3:$D$3</c:f>
              <c:numCache>
                <c:formatCode>General</c:formatCode>
                <c:ptCount val="2"/>
                <c:pt idx="0">
                  <c:v>102.13</c:v>
                </c:pt>
                <c:pt idx="1">
                  <c:v>118.04</c:v>
                </c:pt>
              </c:numCache>
            </c:numRef>
          </c:val>
        </c:ser>
        <c:ser>
          <c:idx val="1"/>
          <c:order val="1"/>
          <c:tx>
            <c:strRef>
              <c:f>[图表7.xls]Sheet1!$B$4</c:f>
              <c:strCache>
                <c:ptCount val="1"/>
                <c:pt idx="0">
                  <c:v/>
                </c:pt>
              </c:strCache>
            </c:strRef>
          </c:tx>
          <c:spPr>
            <a:solidFill>
              <a:srgbClr val="ED7D31">
                <a:alpha val="100000"/>
              </a:srgbClr>
            </a:solidFill>
            <a:ln w="3175">
              <a:noFill/>
            </a:ln>
          </c:spPr>
          <c:invertIfNegative val="0"/>
          <c:dLbls>
            <c:delete val="1"/>
          </c:dLbls>
          <c:cat>
            <c:strRef>
              <c:f>[图表7.xls]Sheet1!$C$2:$D$2</c:f>
              <c:strCache>
                <c:ptCount val="2"/>
                <c:pt idx="0">
                  <c:v>2022年一般公共预算财政拨款支出支出总计111.2万元</c:v>
                </c:pt>
                <c:pt idx="1">
                  <c:v>2021年一般公共预算财政拨款支出支出总计118.04万元</c:v>
                </c:pt>
              </c:strCache>
            </c:strRef>
          </c:cat>
          <c:val>
            <c:numRef>
              <c:f>[图表7.xls]Sheet1!$C$4:$D$4</c:f>
              <c:numCache>
                <c:formatCode>General</c:formatCode>
                <c:ptCount val="2"/>
              </c:numCache>
            </c:numRef>
          </c:val>
        </c:ser>
        <c:ser>
          <c:idx val="2"/>
          <c:order val="2"/>
          <c:tx>
            <c:strRef>
              <c:f>[图表7.xls]Sheet1!$B$5</c:f>
              <c:strCache>
                <c:ptCount val="1"/>
                <c:pt idx="0">
                  <c:v/>
                </c:pt>
              </c:strCache>
            </c:strRef>
          </c:tx>
          <c:spPr>
            <a:solidFill>
              <a:srgbClr val="A5A5A5">
                <a:alpha val="100000"/>
              </a:srgbClr>
            </a:solidFill>
            <a:ln w="3175">
              <a:noFill/>
            </a:ln>
          </c:spPr>
          <c:invertIfNegative val="0"/>
          <c:dLbls>
            <c:delete val="1"/>
          </c:dLbls>
          <c:cat>
            <c:strRef>
              <c:f>[图表7.xls]Sheet1!$C$2:$D$2</c:f>
              <c:strCache>
                <c:ptCount val="2"/>
                <c:pt idx="0">
                  <c:v>2022年一般公共预算财政拨款支出支出总计111.2万元</c:v>
                </c:pt>
                <c:pt idx="1">
                  <c:v>2021年一般公共预算财政拨款支出支出总计118.04万元</c:v>
                </c:pt>
              </c:strCache>
            </c:strRef>
          </c:cat>
          <c:val>
            <c:numRef>
              <c:f>[图表7.xls]Sheet1!$C$5:$D$5</c:f>
              <c:numCache>
                <c:formatCode>General</c:formatCode>
                <c:ptCount val="2"/>
              </c:numCache>
            </c:numRef>
          </c:val>
        </c:ser>
        <c:dLbls>
          <c:showLegendKey val="0"/>
          <c:showVal val="0"/>
          <c:showCatName val="0"/>
          <c:showSerName val="0"/>
          <c:showPercent val="0"/>
          <c:showBubbleSize val="0"/>
        </c:dLbls>
        <c:gapWidth val="219"/>
        <c:overlap val="-27"/>
        <c:axId val="402868977"/>
        <c:axId val="457156129"/>
      </c:barChart>
      <c:catAx>
        <c:axId val="402868977"/>
        <c:scaling>
          <c:orientation val="minMax"/>
        </c:scaling>
        <c:delete val="0"/>
        <c:axPos val="b"/>
        <c:majorTickMark val="none"/>
        <c:minorTickMark val="none"/>
        <c:tickLblPos val="nextTo"/>
        <c:spPr>
          <a:noFill/>
          <a:ln w="9525" cap="flat" cmpd="sng" algn="ctr">
            <a:solidFill>
              <a:schemeClr val="tx1">
                <a:lumMod val="15000"/>
                <a:lumOff val="85000"/>
              </a:schemeClr>
            </a:solidFill>
            <a:prstDash val="solid"/>
            <a:round/>
          </a:ln>
          <a:effectLst/>
        </c:spPr>
        <c:txPr>
          <a:bodyPr rot="3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57156129"/>
        <c:crosses val="autoZero"/>
        <c:auto val="1"/>
        <c:lblAlgn val="ctr"/>
        <c:lblOffset val="100"/>
        <c:noMultiLvlLbl val="0"/>
      </c:catAx>
      <c:valAx>
        <c:axId val="457156129"/>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ln w="3175" cap="flat" cmpd="sng" algn="ctr">
            <a:noFill/>
            <a:prstDash val="solid"/>
            <a:round/>
          </a:ln>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02868977"/>
        <c:crosses val="autoZero"/>
        <c:crossBetween val="between"/>
      </c:valAx>
      <c:spPr>
        <a:noFill/>
        <a:ln w="3175">
          <a:noFill/>
        </a:ln>
      </c:spPr>
    </c:plotArea>
    <c:plotVisOnly val="1"/>
    <c:dispBlanksAs val="gap"/>
    <c:showDLblsOverMax val="0"/>
  </c:chart>
  <c:spPr>
    <a:solidFill>
      <a:schemeClr val="bg2"/>
    </a:solidFill>
    <a:ln w="9525" cap="flat" cmpd="sng" algn="ctr">
      <a:solidFill>
        <a:schemeClr val="tx1">
          <a:lumMod val="15000"/>
          <a:lumOff val="85000"/>
        </a:schemeClr>
      </a:solidFill>
      <a:prstDash val="solid"/>
      <a:round/>
    </a:ln>
    <a:effectLst/>
  </c:spPr>
  <c:txPr>
    <a:bodyPr rot="0" vert="horz" wrap="square"/>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[图表8.xls]Sheet1!$B$3</c:f>
              <c:strCache>
                <c:ptCount val="1"/>
                <c:pt idx="0">
                  <c:v/>
                </c:pt>
              </c:strCache>
            </c:strRef>
          </c:tx>
          <c:explosion val="0"/>
          <c:dPt>
            <c:idx val="0"/>
            <c:bubble3D val="0"/>
            <c:explosion val="0"/>
          </c:dPt>
          <c:dPt>
            <c:idx val="1"/>
            <c:bubble3D val="0"/>
            <c:explosion val="0"/>
            <c:spPr>
              <a:solidFill>
                <a:schemeClr val="accent5"/>
              </a:solidFill>
            </c:spPr>
          </c:dPt>
          <c:dPt>
            <c:idx val="2"/>
            <c:bubble3D val="0"/>
            <c:explosion val="0"/>
          </c:dPt>
          <c:dPt>
            <c:idx val="3"/>
            <c:bubble3D val="0"/>
            <c:explosion val="0"/>
          </c:dPt>
          <c:dPt>
            <c:idx val="4"/>
            <c:bubble3D val="0"/>
            <c:explosion val="0"/>
            <c:spPr>
              <a:solidFill>
                <a:srgbClr val="7030A0"/>
              </a:solidFill>
            </c:spPr>
          </c:dPt>
          <c:dLbls>
            <c:delete val="1"/>
          </c:dLbls>
          <c:cat>
            <c:strRef>
              <c:f>[图表8.xls]Sheet1!$C$2:$G$2</c:f>
              <c:strCache>
                <c:ptCount val="5"/>
                <c:pt idx="0">
                  <c:v>教育支出占0.09%</c:v>
                </c:pt>
                <c:pt idx="1">
                  <c:v>科学技术支出占80.58%</c:v>
                </c:pt>
                <c:pt idx="2">
                  <c:v>社会保障和就业支出占7.79%</c:v>
                </c:pt>
                <c:pt idx="3">
                  <c:v>住房保障支出6.4%</c:v>
                </c:pt>
                <c:pt idx="4">
                  <c:v>卫生健康支出占5.14%</c:v>
                </c:pt>
              </c:strCache>
            </c:strRef>
          </c:cat>
          <c:val>
            <c:numRef>
              <c:f>[图表8.xls]Sheet1!$C$3:$G$3</c:f>
              <c:numCache>
                <c:formatCode>General</c:formatCode>
                <c:ptCount val="5"/>
                <c:pt idx="0">
                  <c:v>0.1</c:v>
                </c:pt>
                <c:pt idx="1">
                  <c:v>89.6</c:v>
                </c:pt>
                <c:pt idx="2">
                  <c:v>8.66</c:v>
                </c:pt>
                <c:pt idx="3">
                  <c:v>7.12</c:v>
                </c:pt>
                <c:pt idx="4">
                  <c:v>5.72</c:v>
                </c:pt>
              </c:numCache>
            </c:numRef>
          </c:val>
        </c:ser>
        <c:ser>
          <c:idx val="1"/>
          <c:order val="1"/>
          <c:tx>
            <c:strRef>
              <c:f>[图表8.xls]Sheet1!$B$4</c:f>
              <c:strCache>
                <c:ptCount val="1"/>
                <c:pt idx="0">
                  <c:v/>
                </c:pt>
              </c:strCache>
            </c:strRef>
          </c:tx>
          <c:explosion val="0"/>
          <c:dPt>
            <c:idx val="0"/>
            <c:bubble3D val="0"/>
            <c:explosion val="0"/>
          </c:dPt>
          <c:dPt>
            <c:idx val="1"/>
            <c:bubble3D val="0"/>
            <c:explosion val="0"/>
          </c:dPt>
          <c:dPt>
            <c:idx val="2"/>
            <c:bubble3D val="0"/>
            <c:explosion val="0"/>
          </c:dPt>
          <c:dPt>
            <c:idx val="3"/>
            <c:bubble3D val="0"/>
            <c:explosion val="0"/>
          </c:dPt>
          <c:dPt>
            <c:idx val="4"/>
            <c:bubble3D val="0"/>
            <c:explosion val="0"/>
          </c:dPt>
          <c:dLbls>
            <c:delete val="1"/>
          </c:dLbls>
          <c:cat>
            <c:strRef>
              <c:f>[图表8.xls]Sheet1!$C$2:$G$2</c:f>
              <c:strCache>
                <c:ptCount val="5"/>
                <c:pt idx="0">
                  <c:v>教育支出占0.09%</c:v>
                </c:pt>
                <c:pt idx="1">
                  <c:v>科学技术支出占80.58%</c:v>
                </c:pt>
                <c:pt idx="2">
                  <c:v>社会保障和就业支出占7.79%</c:v>
                </c:pt>
                <c:pt idx="3">
                  <c:v>住房保障支出6.4%</c:v>
                </c:pt>
                <c:pt idx="4">
                  <c:v>卫生健康支出占5.14%</c:v>
                </c:pt>
              </c:strCache>
            </c:strRef>
          </c:cat>
          <c:val>
            <c:numRef>
              <c:f>[图表8.xls]Sheet1!$C$4:$G$4</c:f>
              <c:numCache>
                <c:formatCode>General</c:formatCode>
                <c:ptCount val="5"/>
              </c:numCache>
            </c:numRef>
          </c:val>
        </c:ser>
        <c:ser>
          <c:idx val="2"/>
          <c:order val="2"/>
          <c:tx>
            <c:strRef>
              <c:f>[图表8.xls]Sheet1!$B$5</c:f>
              <c:strCache>
                <c:ptCount val="1"/>
                <c:pt idx="0">
                  <c:v/>
                </c:pt>
              </c:strCache>
            </c:strRef>
          </c:tx>
          <c:explosion val="0"/>
          <c:dPt>
            <c:idx val="0"/>
            <c:bubble3D val="0"/>
            <c:explosion val="0"/>
          </c:dPt>
          <c:dPt>
            <c:idx val="1"/>
            <c:bubble3D val="0"/>
            <c:explosion val="0"/>
          </c:dPt>
          <c:dPt>
            <c:idx val="2"/>
            <c:bubble3D val="0"/>
            <c:explosion val="0"/>
          </c:dPt>
          <c:dPt>
            <c:idx val="3"/>
            <c:bubble3D val="0"/>
            <c:explosion val="0"/>
          </c:dPt>
          <c:dPt>
            <c:idx val="4"/>
            <c:bubble3D val="0"/>
            <c:explosion val="0"/>
          </c:dPt>
          <c:dLbls>
            <c:delete val="1"/>
          </c:dLbls>
          <c:cat>
            <c:strRef>
              <c:f>[图表8.xls]Sheet1!$C$2:$G$2</c:f>
              <c:strCache>
                <c:ptCount val="5"/>
                <c:pt idx="0">
                  <c:v>教育支出占0.09%</c:v>
                </c:pt>
                <c:pt idx="1">
                  <c:v>科学技术支出占80.58%</c:v>
                </c:pt>
                <c:pt idx="2">
                  <c:v>社会保障和就业支出占7.79%</c:v>
                </c:pt>
                <c:pt idx="3">
                  <c:v>住房保障支出6.4%</c:v>
                </c:pt>
                <c:pt idx="4">
                  <c:v>卫生健康支出占5.14%</c:v>
                </c:pt>
              </c:strCache>
            </c:strRef>
          </c:cat>
          <c:val>
            <c:numRef>
              <c:f>[图表8.xls]Sheet1!$C$5:$G$5</c:f>
              <c:numCache>
                <c:formatCode>General</c:formatCode>
                <c:ptCount val="5"/>
              </c:numCache>
            </c:numRef>
          </c:val>
        </c:ser>
        <c:dLbls>
          <c:showLegendKey val="0"/>
          <c:showVal val="0"/>
          <c:showCatName val="0"/>
          <c:showSerName val="0"/>
          <c:showPercent val="0"/>
          <c:showBubbleSize val="0"/>
          <c:showLeaderLines val="0"/>
        </c:dLbls>
        <c:firstSliceAng val="0"/>
      </c:pieChart>
      <c:spPr>
        <a:noFill/>
        <a:ln w="3175">
          <a:noFill/>
        </a:ln>
      </c:spPr>
    </c:plotArea>
    <c:legend>
      <c:legendPos val="b"/>
      <c:layout>
        <c:manualLayout>
          <c:xMode val="edge"/>
          <c:yMode val="edge"/>
          <c:x val="0.574176867094506"/>
          <c:y val="0.220257321274763"/>
          <c:w val="0.421975992613112"/>
          <c:h val="0.556712962962963"/>
        </c:manualLayout>
      </c:layout>
      <c:overlay val="0"/>
      <c:spPr>
        <a:noFill/>
        <a:ln w="3175">
          <a:noFill/>
        </a:ln>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[图表9.xls]Sheet1!$B$3</c:f>
              <c:strCache>
                <c:ptCount val="1"/>
                <c:pt idx="0">
                  <c:v/>
                </c:pt>
              </c:strCache>
            </c:strRef>
          </c:tx>
          <c:explosion val="0"/>
          <c:dPt>
            <c:idx val="0"/>
            <c:bubble3D val="0"/>
            <c:explosion val="0"/>
            <c:spPr>
              <a:solidFill>
                <a:srgbClr val="7030A0"/>
              </a:solidFill>
            </c:spPr>
          </c:dPt>
          <c:dPt>
            <c:idx val="1"/>
            <c:bubble3D val="0"/>
            <c:explosion val="0"/>
            <c:spPr>
              <a:solidFill>
                <a:srgbClr val="4BACC6"/>
              </a:solidFill>
            </c:spPr>
          </c:dPt>
          <c:dPt>
            <c:idx val="2"/>
            <c:bubble3D val="0"/>
            <c:explosion val="0"/>
          </c:dPt>
          <c:dPt>
            <c:idx val="3"/>
            <c:bubble3D val="0"/>
            <c:explosion val="0"/>
          </c:dPt>
          <c:dPt>
            <c:idx val="4"/>
            <c:bubble3D val="0"/>
            <c:explosion val="0"/>
            <c:spPr>
              <a:solidFill>
                <a:srgbClr val="7030A0"/>
              </a:solidFill>
            </c:spPr>
          </c:dPt>
          <c:dLbls>
            <c:delete val="1"/>
          </c:dLbls>
          <c:cat>
            <c:strRef>
              <c:f>[图表9.xls]Sheet1!$C$2:$G$2</c:f>
              <c:strCache>
                <c:ptCount val="5"/>
                <c:pt idx="0">
                  <c:v>因公出国（境）经费</c:v>
                </c:pt>
                <c:pt idx="1">
                  <c:v>公务用车购置及运行维护费占100%</c:v>
                </c:pt>
                <c:pt idx="2">
                  <c:v>公务接待费</c:v>
                </c:pt>
              </c:strCache>
            </c:strRef>
          </c:cat>
          <c:val>
            <c:numRef>
              <c:f>[图表9.xls]Sheet1!$C$3:$G$3</c:f>
              <c:numCache>
                <c:formatCode>General</c:formatCode>
                <c:ptCount val="5"/>
                <c:pt idx="1">
                  <c:v>100</c:v>
                </c:pt>
              </c:numCache>
            </c:numRef>
          </c:val>
        </c:ser>
        <c:ser>
          <c:idx val="1"/>
          <c:order val="1"/>
          <c:tx>
            <c:strRef>
              <c:f>[图表9.xls]Sheet1!$B$4</c:f>
              <c:strCache>
                <c:ptCount val="1"/>
                <c:pt idx="0">
                  <c:v/>
                </c:pt>
              </c:strCache>
            </c:strRef>
          </c:tx>
          <c:explosion val="0"/>
          <c:dPt>
            <c:idx val="0"/>
            <c:bubble3D val="0"/>
            <c:explosion val="0"/>
          </c:dPt>
          <c:dPt>
            <c:idx val="1"/>
            <c:bubble3D val="0"/>
            <c:explosion val="0"/>
          </c:dPt>
          <c:dPt>
            <c:idx val="2"/>
            <c:bubble3D val="0"/>
            <c:explosion val="0"/>
          </c:dPt>
          <c:dPt>
            <c:idx val="3"/>
            <c:bubble3D val="0"/>
            <c:explosion val="0"/>
          </c:dPt>
          <c:dPt>
            <c:idx val="4"/>
            <c:bubble3D val="0"/>
            <c:explosion val="0"/>
          </c:dPt>
          <c:dLbls>
            <c:delete val="1"/>
          </c:dLbls>
          <c:cat>
            <c:strRef>
              <c:f>[图表9.xls]Sheet1!$C$2:$G$2</c:f>
              <c:strCache>
                <c:ptCount val="5"/>
                <c:pt idx="0">
                  <c:v>因公出国（境）经费</c:v>
                </c:pt>
                <c:pt idx="1">
                  <c:v>公务用车购置及运行维护费占100%</c:v>
                </c:pt>
                <c:pt idx="2">
                  <c:v>公务接待费</c:v>
                </c:pt>
              </c:strCache>
            </c:strRef>
          </c:cat>
          <c:val>
            <c:numRef>
              <c:f>[图表8.xls]Sheet1!$C$4:$G$4</c:f>
              <c:numCache>
                <c:formatCode>General</c:formatCode>
                <c:ptCount val="5"/>
              </c:numCache>
            </c:numRef>
          </c:val>
        </c:ser>
        <c:ser>
          <c:idx val="2"/>
          <c:order val="2"/>
          <c:tx>
            <c:strRef>
              <c:f>[图表9.xls]Sheet1!$B$5</c:f>
              <c:strCache>
                <c:ptCount val="1"/>
                <c:pt idx="0">
                  <c:v/>
                </c:pt>
              </c:strCache>
            </c:strRef>
          </c:tx>
          <c:explosion val="0"/>
          <c:dPt>
            <c:idx val="0"/>
            <c:bubble3D val="0"/>
            <c:explosion val="0"/>
          </c:dPt>
          <c:dPt>
            <c:idx val="1"/>
            <c:bubble3D val="0"/>
            <c:explosion val="0"/>
          </c:dPt>
          <c:dPt>
            <c:idx val="2"/>
            <c:bubble3D val="0"/>
            <c:explosion val="0"/>
          </c:dPt>
          <c:dPt>
            <c:idx val="3"/>
            <c:bubble3D val="0"/>
            <c:explosion val="0"/>
          </c:dPt>
          <c:dPt>
            <c:idx val="4"/>
            <c:bubble3D val="0"/>
            <c:explosion val="0"/>
          </c:dPt>
          <c:dLbls>
            <c:delete val="1"/>
          </c:dLbls>
          <c:cat>
            <c:strRef>
              <c:f>[图表9.xls]Sheet1!$C$2:$G$2</c:f>
              <c:strCache>
                <c:ptCount val="5"/>
                <c:pt idx="0">
                  <c:v>因公出国（境）经费</c:v>
                </c:pt>
                <c:pt idx="1">
                  <c:v>公务用车购置及运行维护费占100%</c:v>
                </c:pt>
                <c:pt idx="2">
                  <c:v>公务接待费</c:v>
                </c:pt>
              </c:strCache>
            </c:strRef>
          </c:cat>
          <c:val>
            <c:numRef>
              <c:f>[图表8.xls]Sheet1!$C$5:$G$5</c:f>
              <c:numCache>
                <c:formatCode>General</c:formatCode>
                <c:ptCount val="5"/>
              </c:numCache>
            </c:numRef>
          </c:val>
        </c:ser>
        <c:dLbls>
          <c:showLegendKey val="0"/>
          <c:showVal val="0"/>
          <c:showCatName val="0"/>
          <c:showSerName val="0"/>
          <c:showPercent val="0"/>
          <c:showBubbleSize val="0"/>
          <c:showLeaderLines val="0"/>
        </c:dLbls>
        <c:firstSliceAng val="0"/>
      </c:pieChart>
      <c:spPr>
        <a:noFill/>
        <a:ln w="3175">
          <a:noFill/>
        </a:ln>
      </c:spPr>
    </c:plotArea>
    <c:legend>
      <c:legendPos val="b"/>
      <c:legendEntry>
        <c:idx val="3"/>
        <c:delete val="1"/>
      </c:legendEntry>
      <c:legendEntry>
        <c:idx val="4"/>
        <c:delete val="1"/>
      </c:legendEntry>
      <c:layout>
        <c:manualLayout>
          <c:xMode val="edge"/>
          <c:yMode val="edge"/>
          <c:x val="0.644434306569343"/>
          <c:y val="0.205102298560242"/>
          <c:w val="0.352828467153285"/>
          <c:h val="0.55670623894923"/>
        </c:manualLayout>
      </c:layout>
      <c:overlay val="0"/>
      <c:spPr>
        <a:noFill/>
        <a:ln w="3175">
          <a:noFill/>
        </a:ln>
      </c:spPr>
      <c:txPr>
        <a:bodyPr rot="0" spcFirstLastPara="1"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wrap="square"/>
    <a:lstStyle/>
    <a:p>
      <a:pPr>
        <a:defRPr lang="zh-CN"/>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17</Pages>
  <Words>4720</Words>
  <Characters>5178</Characters>
  <Lines>61</Lines>
  <Paragraphs>17</Paragraphs>
  <TotalTime>96</TotalTime>
  <ScaleCrop>false</ScaleCrop>
  <LinksUpToDate>false</LinksUpToDate>
  <CharactersWithSpaces>5292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2020-08-05T01:49:00Z</dcterms:created>
  <dc:creator>曹颖</dc:creator>
  <cp:lastModifiedBy>玲玲儿</cp:lastModifiedBy>
  <cp:lastPrinted>2023-09-18T03:43:00Z</cp:lastPrinted>
  <dcterms:modified xsi:type="dcterms:W3CDTF">2023-09-18T09:36:07Z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4F69785638634BCC81556833B06DEBD2_12</vt:lpwstr>
  </property>
</Properties>
</file>